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8F218" w14:textId="4DE0A440" w:rsidR="00E90E49" w:rsidRPr="00FC74C8" w:rsidRDefault="00E90E49" w:rsidP="00E35559">
      <w:pPr>
        <w:pStyle w:val="3GPPHeader"/>
        <w:spacing w:after="60"/>
        <w:rPr>
          <w:sz w:val="32"/>
          <w:szCs w:val="32"/>
        </w:rPr>
      </w:pPr>
      <w:r w:rsidRPr="00FC74C8">
        <w:t>3GPP TSG-RAN</w:t>
      </w:r>
      <w:r w:rsidR="0023379C" w:rsidRPr="00FC74C8">
        <w:t>2</w:t>
      </w:r>
      <w:r w:rsidRPr="00FC74C8">
        <w:t>#</w:t>
      </w:r>
      <w:r w:rsidR="0023379C" w:rsidRPr="00FC74C8">
        <w:t>11</w:t>
      </w:r>
      <w:r w:rsidR="006129F5" w:rsidRPr="00FC74C8">
        <w:t>8</w:t>
      </w:r>
      <w:r w:rsidR="0023379C" w:rsidRPr="00FC74C8">
        <w:t>-e</w:t>
      </w:r>
      <w:r w:rsidRPr="00FC74C8">
        <w:tab/>
      </w:r>
      <w:proofErr w:type="spellStart"/>
      <w:r w:rsidRPr="00FC74C8">
        <w:rPr>
          <w:sz w:val="32"/>
          <w:szCs w:val="32"/>
        </w:rPr>
        <w:t>Tdoc</w:t>
      </w:r>
      <w:proofErr w:type="spellEnd"/>
      <w:r w:rsidRPr="00FC74C8">
        <w:rPr>
          <w:sz w:val="32"/>
          <w:szCs w:val="32"/>
        </w:rPr>
        <w:t xml:space="preserve"> </w:t>
      </w:r>
      <w:r w:rsidR="0095319F" w:rsidRPr="0095319F">
        <w:rPr>
          <w:sz w:val="32"/>
          <w:szCs w:val="32"/>
        </w:rPr>
        <w:t>R2-2205869</w:t>
      </w:r>
    </w:p>
    <w:p w14:paraId="3D1C4376" w14:textId="39B4C02E" w:rsidR="00E90E49" w:rsidRPr="00FC74C8" w:rsidRDefault="00C268E6" w:rsidP="00311702">
      <w:pPr>
        <w:pStyle w:val="3GPPHeader"/>
      </w:pPr>
      <w:r w:rsidRPr="00FC74C8">
        <w:t xml:space="preserve">Electronic meeting, </w:t>
      </w:r>
      <w:r w:rsidR="002270E9" w:rsidRPr="00FC74C8">
        <w:t>202</w:t>
      </w:r>
      <w:r w:rsidR="00171E8C" w:rsidRPr="00FC74C8">
        <w:t>2</w:t>
      </w:r>
      <w:r w:rsidR="002270E9" w:rsidRPr="00FC74C8">
        <w:t>-</w:t>
      </w:r>
      <w:r w:rsidR="00171E8C" w:rsidRPr="00FC74C8">
        <w:t>0</w:t>
      </w:r>
      <w:r w:rsidR="006129F5" w:rsidRPr="00FC74C8">
        <w:t>5</w:t>
      </w:r>
      <w:r w:rsidR="002270E9" w:rsidRPr="00FC74C8">
        <w:t>-</w:t>
      </w:r>
      <w:r w:rsidR="006129F5" w:rsidRPr="00FC74C8">
        <w:t>09</w:t>
      </w:r>
      <w:r w:rsidR="002270E9" w:rsidRPr="00FC74C8">
        <w:t xml:space="preserve"> - 202</w:t>
      </w:r>
      <w:r w:rsidR="00171E8C" w:rsidRPr="00FC74C8">
        <w:t>2</w:t>
      </w:r>
      <w:r w:rsidR="002270E9" w:rsidRPr="00FC74C8">
        <w:t>-</w:t>
      </w:r>
      <w:r w:rsidR="00171E8C" w:rsidRPr="00FC74C8">
        <w:t>0</w:t>
      </w:r>
      <w:r w:rsidR="006129F5" w:rsidRPr="00FC74C8">
        <w:t>5</w:t>
      </w:r>
      <w:r w:rsidR="002270E9" w:rsidRPr="00FC74C8">
        <w:t>-</w:t>
      </w:r>
      <w:r w:rsidR="006129F5" w:rsidRPr="00FC74C8">
        <w:t>20</w:t>
      </w:r>
    </w:p>
    <w:p w14:paraId="0054CDF1" w14:textId="77777777" w:rsidR="00E90E49" w:rsidRPr="00FC74C8" w:rsidRDefault="00E90E49" w:rsidP="00357380">
      <w:pPr>
        <w:pStyle w:val="3GPPHeader"/>
      </w:pPr>
    </w:p>
    <w:p w14:paraId="506D5710" w14:textId="7BC43C59" w:rsidR="00E90E49" w:rsidRPr="00FC74C8" w:rsidRDefault="00E90E49" w:rsidP="00311702">
      <w:pPr>
        <w:pStyle w:val="3GPPHeader"/>
        <w:rPr>
          <w:sz w:val="22"/>
          <w:szCs w:val="22"/>
        </w:rPr>
      </w:pPr>
      <w:r w:rsidRPr="00FC74C8">
        <w:rPr>
          <w:sz w:val="22"/>
          <w:szCs w:val="22"/>
        </w:rPr>
        <w:t>Agenda Item:</w:t>
      </w:r>
      <w:r w:rsidRPr="00FC74C8">
        <w:rPr>
          <w:sz w:val="22"/>
          <w:szCs w:val="22"/>
        </w:rPr>
        <w:tab/>
      </w:r>
      <w:r w:rsidR="00FC74C8" w:rsidRPr="00FC74C8">
        <w:rPr>
          <w:sz w:val="22"/>
          <w:szCs w:val="22"/>
        </w:rPr>
        <w:t>6.24.3</w:t>
      </w:r>
      <w:r w:rsidR="00F65712" w:rsidRPr="00FC74C8">
        <w:rPr>
          <w:sz w:val="22"/>
          <w:szCs w:val="22"/>
        </w:rPr>
        <w:t xml:space="preserve"> Other</w:t>
      </w:r>
    </w:p>
    <w:p w14:paraId="0DB1E9B8" w14:textId="77777777" w:rsidR="00E90E49" w:rsidRPr="00FC74C8" w:rsidRDefault="003D3C45" w:rsidP="00F64C2B">
      <w:pPr>
        <w:pStyle w:val="3GPPHeader"/>
        <w:rPr>
          <w:sz w:val="22"/>
          <w:szCs w:val="22"/>
        </w:rPr>
      </w:pPr>
      <w:r w:rsidRPr="00FC74C8">
        <w:rPr>
          <w:sz w:val="22"/>
          <w:szCs w:val="22"/>
        </w:rPr>
        <w:t>Source:</w:t>
      </w:r>
      <w:r w:rsidR="00E90E49" w:rsidRPr="00FC74C8">
        <w:rPr>
          <w:sz w:val="22"/>
          <w:szCs w:val="22"/>
        </w:rPr>
        <w:tab/>
      </w:r>
      <w:r w:rsidR="00F64C2B" w:rsidRPr="00FC74C8">
        <w:rPr>
          <w:sz w:val="22"/>
          <w:szCs w:val="22"/>
        </w:rPr>
        <w:t>Ericsson</w:t>
      </w:r>
    </w:p>
    <w:p w14:paraId="7D5FDEBA" w14:textId="01C6A7D8" w:rsidR="00E90E49" w:rsidRPr="00FC74C8" w:rsidRDefault="003D3C45" w:rsidP="00311702">
      <w:pPr>
        <w:pStyle w:val="3GPPHeader"/>
        <w:rPr>
          <w:sz w:val="22"/>
          <w:szCs w:val="22"/>
        </w:rPr>
      </w:pPr>
      <w:r w:rsidRPr="00FC74C8">
        <w:rPr>
          <w:sz w:val="22"/>
          <w:szCs w:val="22"/>
        </w:rPr>
        <w:t>Title:</w:t>
      </w:r>
      <w:r w:rsidR="00E90E49" w:rsidRPr="00FC74C8">
        <w:rPr>
          <w:sz w:val="22"/>
          <w:szCs w:val="22"/>
        </w:rPr>
        <w:tab/>
      </w:r>
      <w:r w:rsidR="00DE1A16" w:rsidRPr="00FC74C8">
        <w:rPr>
          <w:sz w:val="22"/>
          <w:szCs w:val="22"/>
        </w:rPr>
        <w:t>Remaining issues for MINT</w:t>
      </w:r>
    </w:p>
    <w:p w14:paraId="64D85CC6" w14:textId="07848469" w:rsidR="00E90E49" w:rsidRPr="00F65712" w:rsidRDefault="00E90E49" w:rsidP="00F65712">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63101B7B" w14:textId="5EFF5839" w:rsidR="00AD72EC" w:rsidRPr="009A19A2" w:rsidRDefault="00AD72EC" w:rsidP="00432F04">
      <w:pPr>
        <w:pStyle w:val="BodyText"/>
        <w:rPr>
          <w:rFonts w:cs="Arial"/>
        </w:rPr>
      </w:pPr>
      <w:r>
        <w:rPr>
          <w:rFonts w:cs="Arial"/>
        </w:rPr>
        <w:t xml:space="preserve">For MINT, </w:t>
      </w:r>
      <w:r w:rsidR="00432F04">
        <w:rPr>
          <w:rFonts w:cs="Arial"/>
        </w:rPr>
        <w:t>one remaining open issue is the "single bit approach". For this RAN2 has been waiting for input from CT1, which has now arrived in</w:t>
      </w:r>
      <w:r w:rsidR="00432F04" w:rsidRPr="00432F04">
        <w:rPr>
          <w:rFonts w:cs="Arial"/>
        </w:rPr>
        <w:t xml:space="preserve"> </w:t>
      </w:r>
      <w:r w:rsidR="00432F04" w:rsidRPr="004160D2">
        <w:rPr>
          <w:rFonts w:cs="Arial"/>
        </w:rPr>
        <w:t>C1-223219</w:t>
      </w:r>
      <w:r w:rsidR="00432F04">
        <w:rPr>
          <w:rFonts w:cs="Arial"/>
        </w:rPr>
        <w:t>.</w:t>
      </w:r>
    </w:p>
    <w:p w14:paraId="2C2507FC" w14:textId="27167136" w:rsidR="005E5C4E" w:rsidRDefault="00230D18" w:rsidP="00B94E76">
      <w:pPr>
        <w:pStyle w:val="Heading1"/>
      </w:pPr>
      <w:bookmarkStart w:id="0" w:name="_Ref178064866"/>
      <w:r>
        <w:t>2</w:t>
      </w:r>
      <w:r>
        <w:tab/>
      </w:r>
      <w:r w:rsidR="004000E8" w:rsidRPr="00CE0424">
        <w:t>Discussion</w:t>
      </w:r>
      <w:bookmarkEnd w:id="0"/>
    </w:p>
    <w:p w14:paraId="3740C24C" w14:textId="2A04C513" w:rsidR="00FA1554" w:rsidRPr="00FA1554" w:rsidRDefault="00FA1554" w:rsidP="00DF1A7A">
      <w:pPr>
        <w:pStyle w:val="Heading2"/>
      </w:pPr>
      <w:r>
        <w:t>2.</w:t>
      </w:r>
      <w:r w:rsidR="00AD72EC">
        <w:t>1</w:t>
      </w:r>
      <w:r>
        <w:tab/>
      </w:r>
      <w:r w:rsidR="00453A71">
        <w:t>Semantics of single bit approach</w:t>
      </w:r>
    </w:p>
    <w:p w14:paraId="36AB4614" w14:textId="26C8D2F5" w:rsidR="00DD79D3" w:rsidRDefault="004160D2" w:rsidP="00EE6B8A">
      <w:pPr>
        <w:rPr>
          <w:rFonts w:ascii="Arial" w:hAnsi="Arial" w:cs="Arial"/>
        </w:rPr>
      </w:pPr>
      <w:r>
        <w:rPr>
          <w:rFonts w:ascii="Arial" w:hAnsi="Arial" w:cs="Arial"/>
        </w:rPr>
        <w:t xml:space="preserve">RAN2 has been waiting for CT1 input regarding the, so called, "single bit approach" for MINT. CT1 has replied in </w:t>
      </w:r>
      <w:r w:rsidRPr="004160D2">
        <w:rPr>
          <w:rFonts w:ascii="Arial" w:hAnsi="Arial" w:cs="Arial"/>
        </w:rPr>
        <w:t>C1-223219</w:t>
      </w:r>
      <w:r w:rsidR="00DD79D3">
        <w:rPr>
          <w:rFonts w:ascii="Arial" w:hAnsi="Arial" w:cs="Arial"/>
        </w:rPr>
        <w:t xml:space="preserve"> where they refer to the CR </w:t>
      </w:r>
      <w:r w:rsidR="00DD79D3" w:rsidRPr="00DD79D3">
        <w:rPr>
          <w:rFonts w:ascii="Arial" w:hAnsi="Arial" w:cs="Arial"/>
        </w:rPr>
        <w:t>C1-223001</w:t>
      </w:r>
      <w:r w:rsidR="00DD79D3">
        <w:rPr>
          <w:rFonts w:ascii="Arial" w:hAnsi="Arial" w:cs="Arial"/>
        </w:rPr>
        <w:t xml:space="preserve"> where the semantics for the single bit approach is described:</w:t>
      </w:r>
    </w:p>
    <w:p w14:paraId="64B4B705" w14:textId="4847CB8E" w:rsidR="00DD79D3" w:rsidRDefault="00DD79D3" w:rsidP="00EE6B8A">
      <w:pPr>
        <w:rPr>
          <w:rFonts w:ascii="Arial" w:hAnsi="Arial" w:cs="Arial"/>
        </w:rPr>
      </w:pPr>
    </w:p>
    <w:tbl>
      <w:tblPr>
        <w:tblStyle w:val="TableGrid"/>
        <w:tblW w:w="0" w:type="auto"/>
        <w:tblInd w:w="421" w:type="dxa"/>
        <w:tblLook w:val="04A0" w:firstRow="1" w:lastRow="0" w:firstColumn="1" w:lastColumn="0" w:noHBand="0" w:noVBand="1"/>
      </w:tblPr>
      <w:tblGrid>
        <w:gridCol w:w="8505"/>
      </w:tblGrid>
      <w:tr w:rsidR="00DD79D3" w14:paraId="119A046D" w14:textId="77777777" w:rsidTr="00DD79D3">
        <w:tc>
          <w:tcPr>
            <w:tcW w:w="8505" w:type="dxa"/>
          </w:tcPr>
          <w:p w14:paraId="5CA8835E" w14:textId="77777777" w:rsidR="00DD79D3" w:rsidRDefault="00DD79D3" w:rsidP="00DD79D3">
            <w:pPr>
              <w:pStyle w:val="B2"/>
            </w:pPr>
            <w:r>
              <w:t>5)</w:t>
            </w:r>
            <w:r>
              <w:tab/>
              <w:t>an NG-RAN cell of the PLMN:</w:t>
            </w:r>
          </w:p>
          <w:p w14:paraId="47C488B6" w14:textId="77777777" w:rsidR="00DD79D3" w:rsidRDefault="00DD79D3" w:rsidP="00DD79D3">
            <w:pPr>
              <w:pStyle w:val="B3"/>
            </w:pPr>
            <w:r w:rsidRPr="00A1604C">
              <w:t>A)</w:t>
            </w:r>
            <w:r w:rsidRPr="00A1604C">
              <w:tab/>
              <w:t>broadcasts the disaster related indication</w:t>
            </w:r>
            <w:r>
              <w:t xml:space="preserve">. </w:t>
            </w:r>
            <w:r w:rsidRPr="00586B15">
              <w:rPr>
                <w:highlight w:val="cyan"/>
              </w:rPr>
              <w:t xml:space="preserve">The disaster related indication indicates that the available PLMN broadcasting this indication is the only PLMN accessible for disaster inbound roamers, that </w:t>
            </w:r>
            <w:r w:rsidRPr="00586B15">
              <w:rPr>
                <w:highlight w:val="cyan"/>
                <w:lang w:val="en-US"/>
              </w:rPr>
              <w:t>this PLMN accepts disaster inbound roamers from any other PLMN</w:t>
            </w:r>
            <w:r w:rsidRPr="00586B15">
              <w:rPr>
                <w:highlight w:val="cyan"/>
              </w:rPr>
              <w:t xml:space="preserve">, that a disaster condition applies </w:t>
            </w:r>
            <w:r w:rsidRPr="00586B15">
              <w:rPr>
                <w:highlight w:val="cyan"/>
                <w:lang w:val="en-US"/>
              </w:rPr>
              <w:t xml:space="preserve">to all other PLMNs in the location of the broadcast, and that the </w:t>
            </w:r>
            <w:r w:rsidRPr="00586B15">
              <w:rPr>
                <w:highlight w:val="cyan"/>
              </w:rPr>
              <w:t>disaster inbound roamers attempt to determine the MS determined PLMN with disaster condition as per bullet q2);</w:t>
            </w:r>
            <w:r>
              <w:t xml:space="preserve"> or</w:t>
            </w:r>
          </w:p>
          <w:p w14:paraId="117005C5" w14:textId="28000A95" w:rsidR="00DD79D3" w:rsidRPr="00DD79D3" w:rsidRDefault="00DD79D3" w:rsidP="00DD79D3">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tc>
      </w:tr>
    </w:tbl>
    <w:p w14:paraId="0558E586" w14:textId="77777777" w:rsidR="00DD79D3" w:rsidRDefault="00DD79D3" w:rsidP="00EE6B8A">
      <w:pPr>
        <w:rPr>
          <w:rFonts w:ascii="Arial" w:hAnsi="Arial" w:cs="Arial"/>
        </w:rPr>
      </w:pPr>
    </w:p>
    <w:p w14:paraId="15AB80AD" w14:textId="771B9CE1" w:rsidR="00DD79D3" w:rsidRDefault="00DD79D3" w:rsidP="00EE6B8A">
      <w:pPr>
        <w:rPr>
          <w:rFonts w:ascii="Arial" w:hAnsi="Arial" w:cs="Arial"/>
        </w:rPr>
      </w:pPr>
      <w:r>
        <w:rPr>
          <w:rFonts w:ascii="Arial" w:hAnsi="Arial" w:cs="Arial"/>
        </w:rPr>
        <w:t>In our understanding this means that if there exists (in a location) a PLMN A, PLMN B and PLMN C, and if PLMN A indicates the single bit, it means that PLMN B and PLMN C are experiencing disaster conditions and that PLMN A accepts disaster roamers from PLMN B and PLMN C.</w:t>
      </w:r>
    </w:p>
    <w:p w14:paraId="795E6416" w14:textId="1CC801C3" w:rsidR="00062480" w:rsidRDefault="00062480" w:rsidP="00EE6B8A">
      <w:pPr>
        <w:rPr>
          <w:rFonts w:ascii="Arial" w:hAnsi="Arial" w:cs="Arial"/>
        </w:rPr>
      </w:pPr>
      <w:r>
        <w:rPr>
          <w:rFonts w:ascii="Arial" w:hAnsi="Arial" w:cs="Arial"/>
        </w:rPr>
        <w:t>Based on the above, a suitable name for the field is only PLMN for disaster roaming, which we propose to use:</w:t>
      </w:r>
    </w:p>
    <w:p w14:paraId="3FF85A2D" w14:textId="7E3AAADE" w:rsidR="00062480" w:rsidRDefault="00062480" w:rsidP="00062480">
      <w:pPr>
        <w:pStyle w:val="Proposal"/>
      </w:pPr>
      <w:bookmarkStart w:id="1" w:name="_Toc101814879"/>
      <w:r>
        <w:t>The single bit is called "</w:t>
      </w:r>
      <w:proofErr w:type="spellStart"/>
      <w:r w:rsidRPr="00062480">
        <w:t>onlyPLMN-ForDisasterRoaming</w:t>
      </w:r>
      <w:proofErr w:type="spellEnd"/>
      <w:r>
        <w:t>"</w:t>
      </w:r>
      <w:bookmarkEnd w:id="1"/>
    </w:p>
    <w:p w14:paraId="1901FDD4" w14:textId="77777777" w:rsidR="00062480" w:rsidRDefault="00062480" w:rsidP="00EE6B8A">
      <w:pPr>
        <w:rPr>
          <w:rFonts w:ascii="Arial" w:hAnsi="Arial" w:cs="Arial"/>
        </w:rPr>
      </w:pPr>
    </w:p>
    <w:p w14:paraId="117C3AA0" w14:textId="2BB9FBEA" w:rsidR="00DD79D3" w:rsidRDefault="00DD79D3" w:rsidP="00EE6B8A">
      <w:pPr>
        <w:rPr>
          <w:rFonts w:ascii="Arial" w:hAnsi="Arial" w:cs="Arial"/>
        </w:rPr>
      </w:pPr>
      <w:r>
        <w:rPr>
          <w:rFonts w:ascii="Arial" w:hAnsi="Arial" w:cs="Arial"/>
        </w:rPr>
        <w:t>This can be implemented as follows:</w:t>
      </w:r>
    </w:p>
    <w:tbl>
      <w:tblPr>
        <w:tblStyle w:val="TableGrid"/>
        <w:tblW w:w="0" w:type="auto"/>
        <w:tblInd w:w="421" w:type="dxa"/>
        <w:tblLook w:val="04A0" w:firstRow="1" w:lastRow="0" w:firstColumn="1" w:lastColumn="0" w:noHBand="0" w:noVBand="1"/>
      </w:tblPr>
      <w:tblGrid>
        <w:gridCol w:w="8505"/>
      </w:tblGrid>
      <w:tr w:rsidR="00DD79D3" w14:paraId="34905A18" w14:textId="77777777" w:rsidTr="00062480">
        <w:tc>
          <w:tcPr>
            <w:tcW w:w="8505" w:type="dxa"/>
          </w:tcPr>
          <w:p w14:paraId="5070A421" w14:textId="77777777" w:rsidR="00DD79D3" w:rsidRDefault="00DD79D3" w:rsidP="00DD79D3">
            <w:pPr>
              <w:pStyle w:val="Heading4"/>
              <w:outlineLvl w:val="3"/>
              <w:rPr>
                <w:noProof/>
                <w:lang w:eastAsia="zh-CN"/>
              </w:rPr>
            </w:pPr>
            <w:bookmarkStart w:id="2" w:name="_Toc100930032"/>
            <w:bookmarkStart w:id="3" w:name="_Hlk101289332"/>
            <w:bookmarkStart w:id="4" w:name="_Hlk101289337"/>
            <w:r>
              <w:lastRenderedPageBreak/>
              <w:t>–</w:t>
            </w:r>
            <w:r>
              <w:tab/>
            </w:r>
            <w:r>
              <w:rPr>
                <w:i/>
                <w:iCs/>
                <w:noProof/>
              </w:rPr>
              <w:t>SIB</w:t>
            </w:r>
            <w:r>
              <w:rPr>
                <w:i/>
                <w:iCs/>
                <w:noProof/>
                <w:lang w:eastAsia="zh-CN"/>
              </w:rPr>
              <w:t>15</w:t>
            </w:r>
            <w:bookmarkEnd w:id="2"/>
          </w:p>
          <w:p w14:paraId="0C5574E3" w14:textId="77777777" w:rsidR="00DD79D3" w:rsidRDefault="00DD79D3" w:rsidP="00DD79D3">
            <w:pPr>
              <w:rPr>
                <w:rFonts w:eastAsia="Yu Mincho"/>
                <w:iCs/>
              </w:rPr>
            </w:pPr>
            <w:r>
              <w:rPr>
                <w:i/>
                <w:iCs/>
              </w:rPr>
              <w:t>SIB15</w:t>
            </w:r>
            <w:r>
              <w:t xml:space="preserve"> </w:t>
            </w:r>
            <w:r>
              <w:rPr>
                <w:lang w:eastAsia="zh-CN"/>
              </w:rPr>
              <w:t>contains configurations of disaster roaming information</w:t>
            </w:r>
            <w:r>
              <w:rPr>
                <w:noProof/>
              </w:rPr>
              <w:t>.</w:t>
            </w:r>
          </w:p>
          <w:p w14:paraId="4571D559" w14:textId="77777777" w:rsidR="00DD79D3" w:rsidRDefault="00DD79D3" w:rsidP="00DD79D3">
            <w:pPr>
              <w:pStyle w:val="TH"/>
              <w:rPr>
                <w:rFonts w:eastAsia="Times New Roman"/>
                <w:i/>
              </w:rPr>
            </w:pPr>
            <w:r>
              <w:rPr>
                <w:i/>
                <w:noProof/>
              </w:rPr>
              <w:t xml:space="preserve">SIB15 </w:t>
            </w:r>
            <w:r>
              <w:rPr>
                <w:noProof/>
              </w:rPr>
              <w:t>information element</w:t>
            </w:r>
          </w:p>
          <w:p w14:paraId="3B12899B" w14:textId="77777777" w:rsidR="00DD79D3" w:rsidRDefault="00DD79D3" w:rsidP="00DD79D3">
            <w:pPr>
              <w:pStyle w:val="PL"/>
              <w:rPr>
                <w:color w:val="808080"/>
              </w:rPr>
            </w:pPr>
            <w:r>
              <w:rPr>
                <w:color w:val="808080"/>
              </w:rPr>
              <w:t>-- ASN1START</w:t>
            </w:r>
          </w:p>
          <w:p w14:paraId="5135C3B8" w14:textId="77777777" w:rsidR="00DD79D3" w:rsidRDefault="00DD79D3" w:rsidP="00DD79D3">
            <w:pPr>
              <w:pStyle w:val="PL"/>
              <w:rPr>
                <w:color w:val="808080"/>
              </w:rPr>
            </w:pPr>
            <w:r>
              <w:rPr>
                <w:color w:val="808080"/>
              </w:rPr>
              <w:t>-- TAG-SIB15-START</w:t>
            </w:r>
          </w:p>
          <w:p w14:paraId="16A23D77" w14:textId="77777777" w:rsidR="00DD79D3" w:rsidRDefault="00DD79D3" w:rsidP="00DD79D3">
            <w:pPr>
              <w:pStyle w:val="PL"/>
            </w:pPr>
          </w:p>
          <w:p w14:paraId="691CCCFA" w14:textId="77777777" w:rsidR="00DD79D3" w:rsidRDefault="00DD79D3" w:rsidP="00DD79D3">
            <w:pPr>
              <w:pStyle w:val="PL"/>
            </w:pPr>
            <w:r>
              <w:t>SIB15</w:t>
            </w:r>
            <w:r>
              <w:rPr>
                <w:rFonts w:eastAsia="DengXian"/>
              </w:rPr>
              <w:t>-</w:t>
            </w:r>
            <w:r>
              <w:t xml:space="preserve">r17 ::=                          </w:t>
            </w:r>
            <w:r>
              <w:rPr>
                <w:color w:val="993366"/>
              </w:rPr>
              <w:t>SEQUENCE</w:t>
            </w:r>
            <w:r>
              <w:t xml:space="preserve"> {</w:t>
            </w:r>
          </w:p>
          <w:p w14:paraId="10F08F5B" w14:textId="77777777" w:rsidR="00DD79D3" w:rsidRDefault="00DD79D3" w:rsidP="00DD79D3">
            <w:pPr>
              <w:pStyle w:val="PL"/>
              <w:rPr>
                <w:color w:val="808080"/>
              </w:rPr>
            </w:pPr>
            <w:r>
              <w:t xml:space="preserve">    commonPLMNsWithDisasterCondition-r17   </w:t>
            </w:r>
            <w:r>
              <w:rPr>
                <w:color w:val="993366"/>
              </w:rPr>
              <w:t>SEQUENCE</w:t>
            </w:r>
            <w:r>
              <w:t xml:space="preserve"> (</w:t>
            </w:r>
            <w:r>
              <w:rPr>
                <w:color w:val="993366"/>
              </w:rPr>
              <w:t>SIZE</w:t>
            </w:r>
            <w:r>
              <w:t xml:space="preserve"> (1..maxPLMN))</w:t>
            </w:r>
            <w:r>
              <w:rPr>
                <w:color w:val="993366"/>
              </w:rPr>
              <w:t xml:space="preserve"> OF</w:t>
            </w:r>
            <w:r>
              <w:t xml:space="preserve"> PLMN-Identity                   </w:t>
            </w:r>
            <w:r>
              <w:rPr>
                <w:color w:val="993366"/>
              </w:rPr>
              <w:t>OPTIONAL</w:t>
            </w:r>
            <w:r>
              <w:t xml:space="preserve">,  </w:t>
            </w:r>
            <w:r>
              <w:rPr>
                <w:color w:val="808080"/>
              </w:rPr>
              <w:t>-- Need R</w:t>
            </w:r>
          </w:p>
          <w:p w14:paraId="77B8452F" w14:textId="77777777" w:rsidR="00DD79D3" w:rsidRDefault="00DD79D3" w:rsidP="00DD79D3">
            <w:pPr>
              <w:pStyle w:val="PL"/>
              <w:rPr>
                <w:color w:val="808080"/>
              </w:rPr>
            </w:pPr>
            <w:r>
              <w:t xml:space="preserve">    applicableDisasterInfoList-r17         </w:t>
            </w:r>
            <w:r>
              <w:rPr>
                <w:color w:val="993366"/>
              </w:rPr>
              <w:t>SEQUENCE</w:t>
            </w:r>
            <w:r>
              <w:t xml:space="preserve"> (</w:t>
            </w:r>
            <w:r>
              <w:rPr>
                <w:color w:val="993366"/>
              </w:rPr>
              <w:t>SIZE</w:t>
            </w:r>
            <w:r>
              <w:t xml:space="preserve"> (1..maxPLMN))</w:t>
            </w:r>
            <w:r>
              <w:rPr>
                <w:color w:val="993366"/>
              </w:rPr>
              <w:t xml:space="preserve"> OF</w:t>
            </w:r>
            <w:r>
              <w:t xml:space="preserve"> ApplicableDisasterInfo-r17      </w:t>
            </w:r>
            <w:r>
              <w:rPr>
                <w:color w:val="993366"/>
              </w:rPr>
              <w:t>OPTIONAL</w:t>
            </w:r>
            <w:r>
              <w:t xml:space="preserve">,  </w:t>
            </w:r>
            <w:r>
              <w:rPr>
                <w:color w:val="808080"/>
              </w:rPr>
              <w:t>-- Need R</w:t>
            </w:r>
          </w:p>
          <w:p w14:paraId="734325F1" w14:textId="77777777" w:rsidR="00DD79D3" w:rsidRDefault="00DD79D3" w:rsidP="00DD79D3">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21370C7" w14:textId="77777777" w:rsidR="00DD79D3" w:rsidRDefault="00DD79D3" w:rsidP="00DD79D3">
            <w:pPr>
              <w:pStyle w:val="PL"/>
            </w:pPr>
            <w:r>
              <w:t xml:space="preserve">    ...</w:t>
            </w:r>
          </w:p>
          <w:p w14:paraId="6EDA8796" w14:textId="77777777" w:rsidR="00DD79D3" w:rsidRDefault="00DD79D3" w:rsidP="00DD79D3">
            <w:pPr>
              <w:pStyle w:val="PL"/>
            </w:pPr>
            <w:r>
              <w:t>}</w:t>
            </w:r>
          </w:p>
          <w:p w14:paraId="50908B17" w14:textId="77777777" w:rsidR="00DD79D3" w:rsidRDefault="00DD79D3" w:rsidP="00DD79D3">
            <w:pPr>
              <w:pStyle w:val="PL"/>
            </w:pPr>
          </w:p>
          <w:p w14:paraId="5434C619" w14:textId="77777777" w:rsidR="00DD79D3" w:rsidRDefault="00DD79D3" w:rsidP="00DD79D3">
            <w:pPr>
              <w:pStyle w:val="PL"/>
            </w:pPr>
            <w:r>
              <w:t xml:space="preserve">ApplicableDisasterInfo-r17    ::= </w:t>
            </w:r>
            <w:r>
              <w:rPr>
                <w:color w:val="993366"/>
              </w:rPr>
              <w:t>CHOICE</w:t>
            </w:r>
            <w:r>
              <w:t xml:space="preserve"> {</w:t>
            </w:r>
          </w:p>
          <w:p w14:paraId="07A097A2" w14:textId="119391BD" w:rsidR="00DD79D3" w:rsidRDefault="00DD79D3" w:rsidP="00DD79D3">
            <w:pPr>
              <w:pStyle w:val="PL"/>
            </w:pPr>
            <w:r>
              <w:t xml:space="preserve">    noDisasterRoaming-r17</w:t>
            </w:r>
            <w:r w:rsidR="00117B84">
              <w:tab/>
            </w:r>
            <w:r w:rsidR="00117B84">
              <w:tab/>
            </w:r>
            <w:r w:rsidR="00117B84">
              <w:tab/>
            </w:r>
            <w:r w:rsidR="00117B84">
              <w:tab/>
            </w:r>
            <w:r>
              <w:rPr>
                <w:color w:val="993366"/>
              </w:rPr>
              <w:t>NULL</w:t>
            </w:r>
            <w:r>
              <w:t>,</w:t>
            </w:r>
          </w:p>
          <w:p w14:paraId="36E5E091" w14:textId="77BAC059" w:rsidR="00DD79D3" w:rsidRDefault="00DD79D3" w:rsidP="00DD79D3">
            <w:pPr>
              <w:pStyle w:val="PL"/>
              <w:rPr>
                <w:color w:val="808080"/>
              </w:rPr>
            </w:pPr>
            <w:r>
              <w:t xml:space="preserve">    </w:t>
            </w:r>
            <w:r w:rsidR="00117B84" w:rsidRPr="00117B84">
              <w:rPr>
                <w:color w:val="FF0000"/>
              </w:rPr>
              <w:t>onlyPLMN-ForDisasterRoaming</w:t>
            </w:r>
            <w:r w:rsidRPr="00117B84">
              <w:rPr>
                <w:color w:val="FF0000"/>
              </w:rPr>
              <w:t>-r17</w:t>
            </w:r>
            <w:r w:rsidR="00117B84">
              <w:tab/>
            </w:r>
            <w:r w:rsidR="00117B84">
              <w:tab/>
            </w:r>
            <w:r>
              <w:rPr>
                <w:color w:val="993366"/>
              </w:rPr>
              <w:t>NULL</w:t>
            </w:r>
            <w:r>
              <w:t>,</w:t>
            </w:r>
          </w:p>
          <w:p w14:paraId="2BE4F5CA" w14:textId="6164C19D" w:rsidR="00DD79D3" w:rsidRDefault="00DD79D3" w:rsidP="00DD79D3">
            <w:pPr>
              <w:pStyle w:val="PL"/>
            </w:pPr>
            <w:r>
              <w:t xml:space="preserve">    commonPLMNs-r17</w:t>
            </w:r>
            <w:r w:rsidR="00117B84">
              <w:tab/>
            </w:r>
            <w:r w:rsidR="00117B84">
              <w:tab/>
            </w:r>
            <w:r w:rsidR="00117B84">
              <w:tab/>
            </w:r>
            <w:r w:rsidR="00117B84">
              <w:tab/>
            </w:r>
            <w:r w:rsidR="00117B84">
              <w:tab/>
            </w:r>
            <w:r w:rsidR="00117B84">
              <w:tab/>
            </w:r>
            <w:r>
              <w:rPr>
                <w:color w:val="993366"/>
              </w:rPr>
              <w:t>NULL</w:t>
            </w:r>
            <w:r>
              <w:t>,</w:t>
            </w:r>
          </w:p>
          <w:p w14:paraId="09B61B6E" w14:textId="655FCBD2" w:rsidR="00DD79D3" w:rsidRDefault="00DD79D3" w:rsidP="00DD79D3">
            <w:pPr>
              <w:pStyle w:val="PL"/>
            </w:pPr>
            <w:r>
              <w:t xml:space="preserve">    dedicatedPLMNs-r17</w:t>
            </w:r>
            <w:r w:rsidR="00117B84">
              <w:tab/>
            </w:r>
            <w:r w:rsidR="00117B84">
              <w:tab/>
            </w:r>
            <w:r w:rsidR="00117B84">
              <w:tab/>
            </w:r>
            <w:r w:rsidR="00117B84">
              <w:tab/>
            </w:r>
            <w:r w:rsidR="00117B84">
              <w:tab/>
            </w:r>
            <w:r>
              <w:rPr>
                <w:color w:val="993366"/>
              </w:rPr>
              <w:t>SEQUENCE</w:t>
            </w:r>
            <w:r>
              <w:t xml:space="preserve"> (</w:t>
            </w:r>
            <w:r>
              <w:rPr>
                <w:color w:val="993366"/>
              </w:rPr>
              <w:t>SIZE</w:t>
            </w:r>
            <w:r>
              <w:t xml:space="preserve"> (1..maxPLMN))</w:t>
            </w:r>
            <w:r>
              <w:rPr>
                <w:color w:val="993366"/>
              </w:rPr>
              <w:t xml:space="preserve"> OF</w:t>
            </w:r>
            <w:r>
              <w:t xml:space="preserve"> PLMN-Identity</w:t>
            </w:r>
          </w:p>
          <w:p w14:paraId="2A4704A8" w14:textId="77777777" w:rsidR="00DD79D3" w:rsidRDefault="00DD79D3" w:rsidP="00DD79D3">
            <w:pPr>
              <w:pStyle w:val="PL"/>
            </w:pPr>
            <w:r>
              <w:t>}</w:t>
            </w:r>
          </w:p>
          <w:p w14:paraId="018A75A1" w14:textId="77777777" w:rsidR="00DD79D3" w:rsidRDefault="00DD79D3" w:rsidP="00DD79D3">
            <w:pPr>
              <w:pStyle w:val="PL"/>
            </w:pPr>
          </w:p>
          <w:p w14:paraId="37CF57BD" w14:textId="77777777" w:rsidR="00DD79D3" w:rsidRDefault="00DD79D3" w:rsidP="00DD79D3">
            <w:pPr>
              <w:pStyle w:val="PL"/>
              <w:rPr>
                <w:color w:val="808080"/>
              </w:rPr>
            </w:pPr>
            <w:r>
              <w:rPr>
                <w:color w:val="808080"/>
              </w:rPr>
              <w:t>-- TAG-SIB15-STOP</w:t>
            </w:r>
          </w:p>
          <w:p w14:paraId="2865B49F" w14:textId="77777777" w:rsidR="00DD79D3" w:rsidRDefault="00DD79D3" w:rsidP="00DD79D3">
            <w:pPr>
              <w:pStyle w:val="PL"/>
              <w:rPr>
                <w:color w:val="808080"/>
              </w:rPr>
            </w:pPr>
            <w:r>
              <w:rPr>
                <w:color w:val="808080"/>
              </w:rPr>
              <w:t>-- ASN1STOP</w:t>
            </w:r>
          </w:p>
          <w:p w14:paraId="60CEF739" w14:textId="77777777" w:rsidR="00DD79D3" w:rsidRDefault="00DD79D3" w:rsidP="00DD79D3">
            <w:pPr>
              <w:rPr>
                <w:iCs/>
              </w:rPr>
            </w:pPr>
          </w:p>
          <w:tbl>
            <w:tblPr>
              <w:tblW w:w="809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092"/>
            </w:tblGrid>
            <w:tr w:rsidR="00DD79D3" w14:paraId="3B7C7746" w14:textId="77777777" w:rsidTr="00062480">
              <w:trPr>
                <w:cantSplit/>
                <w:trHeight w:val="201"/>
                <w:tblHeader/>
              </w:trPr>
              <w:tc>
                <w:tcPr>
                  <w:tcW w:w="8092" w:type="dxa"/>
                  <w:tcBorders>
                    <w:top w:val="single" w:sz="4" w:space="0" w:color="808080"/>
                    <w:left w:val="single" w:sz="4" w:space="0" w:color="808080"/>
                    <w:bottom w:val="single" w:sz="4" w:space="0" w:color="808080"/>
                    <w:right w:val="single" w:sz="4" w:space="0" w:color="808080"/>
                  </w:tcBorders>
                  <w:hideMark/>
                </w:tcPr>
                <w:p w14:paraId="7EEF4023" w14:textId="77777777" w:rsidR="00DD79D3" w:rsidRDefault="00DD79D3" w:rsidP="00DD79D3">
                  <w:pPr>
                    <w:pStyle w:val="TAH"/>
                    <w:rPr>
                      <w:lang w:val="sv-SE" w:eastAsia="en-GB"/>
                    </w:rPr>
                  </w:pPr>
                  <w:r>
                    <w:rPr>
                      <w:bCs/>
                      <w:i/>
                      <w:noProof/>
                      <w:lang w:val="sv-SE" w:eastAsia="sv-SE"/>
                    </w:rPr>
                    <w:t>SIB15</w:t>
                  </w:r>
                  <w:r>
                    <w:rPr>
                      <w:i/>
                      <w:noProof/>
                      <w:lang w:val="sv-SE" w:eastAsia="en-GB"/>
                    </w:rPr>
                    <w:t xml:space="preserve"> </w:t>
                  </w:r>
                  <w:r>
                    <w:rPr>
                      <w:noProof/>
                      <w:lang w:val="sv-SE" w:eastAsia="en-GB"/>
                    </w:rPr>
                    <w:t>field descriptions</w:t>
                  </w:r>
                </w:p>
              </w:tc>
            </w:tr>
            <w:tr w:rsidR="00DD79D3" w14:paraId="0052C367" w14:textId="77777777" w:rsidTr="00062480">
              <w:trPr>
                <w:cantSplit/>
                <w:trHeight w:val="394"/>
              </w:trPr>
              <w:tc>
                <w:tcPr>
                  <w:tcW w:w="8092" w:type="dxa"/>
                  <w:tcBorders>
                    <w:top w:val="single" w:sz="4" w:space="0" w:color="808080"/>
                    <w:left w:val="single" w:sz="4" w:space="0" w:color="808080"/>
                    <w:bottom w:val="single" w:sz="4" w:space="0" w:color="808080"/>
                    <w:right w:val="single" w:sz="4" w:space="0" w:color="808080"/>
                  </w:tcBorders>
                  <w:hideMark/>
                </w:tcPr>
                <w:p w14:paraId="30F89C4F" w14:textId="77777777" w:rsidR="00DD79D3" w:rsidRDefault="00DD79D3" w:rsidP="00DD79D3">
                  <w:pPr>
                    <w:pStyle w:val="TAL"/>
                    <w:rPr>
                      <w:b/>
                      <w:bCs/>
                      <w:i/>
                      <w:iCs/>
                      <w:lang w:val="sv-SE" w:eastAsia="zh-CN"/>
                    </w:rPr>
                  </w:pPr>
                  <w:r>
                    <w:rPr>
                      <w:b/>
                      <w:bCs/>
                      <w:i/>
                      <w:iCs/>
                      <w:lang w:val="sv-SE" w:eastAsia="zh-CN"/>
                    </w:rPr>
                    <w:t>commonPLMNsWithDisasterCondition</w:t>
                  </w:r>
                </w:p>
                <w:p w14:paraId="4C916168" w14:textId="77777777" w:rsidR="00DD79D3" w:rsidRDefault="00DD79D3" w:rsidP="00DD79D3">
                  <w:pPr>
                    <w:pStyle w:val="TAL"/>
                    <w:rPr>
                      <w:bCs/>
                      <w:noProof/>
                      <w:lang w:val="sv-SE" w:eastAsia="en-GB"/>
                    </w:rPr>
                  </w:pPr>
                  <w:r>
                    <w:rPr>
                      <w:lang w:val="sv-SE" w:eastAsia="sv-SE"/>
                    </w:rPr>
                    <w:t>A list of PLMN(s) with disaster conditions which can be commonly applicable to the PLMNs sharing the cell.</w:t>
                  </w:r>
                </w:p>
              </w:tc>
            </w:tr>
            <w:tr w:rsidR="00DD79D3" w14:paraId="14531EB9" w14:textId="77777777" w:rsidTr="00062480">
              <w:trPr>
                <w:cantSplit/>
                <w:trHeight w:val="1998"/>
              </w:trPr>
              <w:tc>
                <w:tcPr>
                  <w:tcW w:w="8092" w:type="dxa"/>
                  <w:tcBorders>
                    <w:top w:val="single" w:sz="4" w:space="0" w:color="808080"/>
                    <w:left w:val="single" w:sz="4" w:space="0" w:color="808080"/>
                    <w:bottom w:val="single" w:sz="4" w:space="0" w:color="808080"/>
                    <w:right w:val="single" w:sz="4" w:space="0" w:color="808080"/>
                  </w:tcBorders>
                  <w:hideMark/>
                </w:tcPr>
                <w:p w14:paraId="021EFA1F" w14:textId="77777777" w:rsidR="00DD79D3" w:rsidRDefault="00DD79D3" w:rsidP="00DD79D3">
                  <w:pPr>
                    <w:pStyle w:val="TAL"/>
                    <w:rPr>
                      <w:b/>
                      <w:bCs/>
                      <w:i/>
                      <w:iCs/>
                      <w:lang w:val="sv-SE" w:eastAsia="zh-CN"/>
                    </w:rPr>
                  </w:pPr>
                  <w:r>
                    <w:rPr>
                      <w:b/>
                      <w:bCs/>
                      <w:i/>
                      <w:iCs/>
                      <w:lang w:val="sv-SE" w:eastAsia="zh-CN"/>
                    </w:rPr>
                    <w:t>applicableDisasterInfoList</w:t>
                  </w:r>
                </w:p>
                <w:p w14:paraId="796E3779" w14:textId="7326D4F5" w:rsidR="00DD79D3" w:rsidRDefault="00DD79D3" w:rsidP="00DD79D3">
                  <w:pPr>
                    <w:pStyle w:val="TAL"/>
                    <w:rPr>
                      <w:bCs/>
                      <w:noProof/>
                      <w:lang w:val="sv-SE" w:eastAsia="en-GB"/>
                    </w:rPr>
                  </w:pPr>
                  <w:r>
                    <w:rPr>
                      <w:lang w:val="sv-SE" w:eastAsia="sv-SE"/>
                    </w:rPr>
                    <w:t xml:space="preserve">A list indicating the applicable disaster information for the networks indicated in </w:t>
                  </w:r>
                  <w:r>
                    <w:rPr>
                      <w:i/>
                      <w:iCs/>
                      <w:lang w:val="sv-SE" w:eastAsia="sv-SE"/>
                    </w:rPr>
                    <w:t>plmn-IdentityList</w:t>
                  </w:r>
                  <w:r>
                    <w:rPr>
                      <w:lang w:val="sv-SE" w:eastAsia="sv-SE"/>
                    </w:rPr>
                    <w:t xml:space="preserve"> and </w:t>
                  </w:r>
                  <w:r>
                    <w:rPr>
                      <w:i/>
                      <w:iCs/>
                      <w:lang w:val="sv-SE" w:eastAsia="sv-SE"/>
                    </w:rPr>
                    <w:t>npn-IdentityList-r16</w:t>
                  </w:r>
                  <w:r>
                    <w:rPr>
                      <w:lang w:val="sv-SE" w:eastAsia="sv-SE"/>
                    </w:rPr>
                    <w:t xml:space="preserve">. The network indicates in this list one entry for each entry of </w:t>
                  </w:r>
                  <w:r>
                    <w:rPr>
                      <w:i/>
                      <w:iCs/>
                      <w:lang w:val="sv-SE" w:eastAsia="sv-SE"/>
                    </w:rPr>
                    <w:t>plmn-IdentityList</w:t>
                  </w:r>
                  <w:r>
                    <w:rPr>
                      <w:lang w:val="sv-SE" w:eastAsia="sv-SE"/>
                    </w:rPr>
                    <w:t xml:space="preserve">, followed by one entry for each entry of </w:t>
                  </w:r>
                  <w:r>
                    <w:rPr>
                      <w:i/>
                      <w:iCs/>
                      <w:lang w:val="sv-SE" w:eastAsia="sv-SE"/>
                    </w:rPr>
                    <w:t>npn-IdentifyList-r16</w:t>
                  </w:r>
                  <w:r>
                    <w:rPr>
                      <w:lang w:val="sv-SE" w:eastAsia="sv-SE"/>
                    </w:rPr>
                    <w:t xml:space="preserve">, meaning that this list will have as many entries as the number of entries of the combination of </w:t>
                  </w:r>
                  <w:r>
                    <w:rPr>
                      <w:i/>
                      <w:iCs/>
                      <w:lang w:val="sv-SE" w:eastAsia="sv-SE"/>
                    </w:rPr>
                    <w:t>plmn-IdentityList</w:t>
                  </w:r>
                  <w:r>
                    <w:rPr>
                      <w:lang w:val="sv-SE" w:eastAsia="sv-SE"/>
                    </w:rPr>
                    <w:t xml:space="preserve"> and </w:t>
                  </w:r>
                  <w:r>
                    <w:rPr>
                      <w:i/>
                      <w:iCs/>
                      <w:lang w:val="sv-SE" w:eastAsia="sv-SE"/>
                    </w:rPr>
                    <w:t>npn-IdentifyList-r16</w:t>
                  </w:r>
                  <w:r>
                    <w:rPr>
                      <w:lang w:val="sv-SE" w:eastAsia="sv-SE"/>
                    </w:rPr>
                    <w:t xml:space="preserve">. The first entry in this list indicates the disaster information applicable for the network(s) in the first entry of </w:t>
                  </w:r>
                  <w:r>
                    <w:rPr>
                      <w:i/>
                      <w:lang w:val="sv-SE"/>
                    </w:rPr>
                    <w:t>plmn-Id</w:t>
                  </w:r>
                  <w:r>
                    <w:rPr>
                      <w:i/>
                      <w:iCs/>
                      <w:lang w:val="sv-SE"/>
                    </w:rPr>
                    <w:t>entity</w:t>
                  </w:r>
                  <w:r>
                    <w:rPr>
                      <w:i/>
                      <w:lang w:val="sv-SE"/>
                    </w:rPr>
                    <w:t>List</w:t>
                  </w:r>
                  <w:r>
                    <w:rPr>
                      <w:iCs/>
                      <w:lang w:val="sv-SE"/>
                    </w:rPr>
                    <w:t>/</w:t>
                  </w:r>
                  <w:r>
                    <w:rPr>
                      <w:i/>
                      <w:lang w:val="sv-SE"/>
                    </w:rPr>
                    <w:t>npn-IdentityList-r16</w:t>
                  </w:r>
                  <w:r>
                    <w:rPr>
                      <w:iCs/>
                      <w:lang w:val="sv-SE"/>
                    </w:rPr>
                    <w:t xml:space="preserve">, the second entry in this list </w:t>
                  </w:r>
                  <w:r>
                    <w:rPr>
                      <w:lang w:val="sv-SE" w:eastAsia="sv-SE"/>
                    </w:rPr>
                    <w:t xml:space="preserve">indicates the disaster information applicable for the network(s) in the second entry of </w:t>
                  </w:r>
                  <w:r>
                    <w:rPr>
                      <w:i/>
                      <w:lang w:val="sv-SE"/>
                    </w:rPr>
                    <w:t>plmn-Id</w:t>
                  </w:r>
                  <w:r>
                    <w:rPr>
                      <w:i/>
                      <w:iCs/>
                      <w:lang w:val="sv-SE"/>
                    </w:rPr>
                    <w:t>entity</w:t>
                  </w:r>
                  <w:r>
                    <w:rPr>
                      <w:i/>
                      <w:lang w:val="sv-SE"/>
                    </w:rPr>
                    <w:t>List</w:t>
                  </w:r>
                  <w:r>
                    <w:rPr>
                      <w:iCs/>
                      <w:lang w:val="sv-SE"/>
                    </w:rPr>
                    <w:t>/</w:t>
                  </w:r>
                  <w:r>
                    <w:rPr>
                      <w:i/>
                      <w:lang w:val="sv-SE"/>
                    </w:rPr>
                    <w:t>npn-IdentityList-r16</w:t>
                  </w:r>
                  <w:r>
                    <w:rPr>
                      <w:iCs/>
                      <w:lang w:val="sv-SE"/>
                    </w:rPr>
                    <w:t>, and so on</w:t>
                  </w:r>
                  <w:r>
                    <w:rPr>
                      <w:lang w:val="sv-SE" w:eastAsia="sv-SE"/>
                    </w:rPr>
                    <w:t xml:space="preserve">. Each entry in this list can either be having the value </w:t>
                  </w:r>
                  <w:r>
                    <w:rPr>
                      <w:i/>
                      <w:iCs/>
                      <w:lang w:val="sv-SE" w:eastAsia="sv-SE"/>
                    </w:rPr>
                    <w:t>noDisasterRoaming</w:t>
                  </w:r>
                  <w:r>
                    <w:rPr>
                      <w:lang w:val="sv-SE" w:eastAsia="sv-SE"/>
                    </w:rPr>
                    <w:t xml:space="preserve">, </w:t>
                  </w:r>
                  <w:bookmarkStart w:id="5" w:name="_Hlk101290405"/>
                  <w:r w:rsidR="00586B15">
                    <w:rPr>
                      <w:i/>
                      <w:iCs/>
                      <w:color w:val="FF0000"/>
                      <w:lang w:val="sv-SE" w:eastAsia="sv-SE"/>
                    </w:rPr>
                    <w:t>onlyPLMN-ForDisasterRoaming</w:t>
                  </w:r>
                  <w:bookmarkEnd w:id="5"/>
                  <w:r>
                    <w:rPr>
                      <w:lang w:val="sv-SE" w:eastAsia="sv-SE"/>
                    </w:rPr>
                    <w:t xml:space="preserve">, </w:t>
                  </w:r>
                  <w:r>
                    <w:rPr>
                      <w:i/>
                      <w:iCs/>
                      <w:lang w:val="sv-SE"/>
                    </w:rPr>
                    <w:t>commonPLMNs</w:t>
                  </w:r>
                  <w:r>
                    <w:rPr>
                      <w:lang w:val="sv-SE"/>
                    </w:rPr>
                    <w:t xml:space="preserve">, or </w:t>
                  </w:r>
                  <w:r>
                    <w:rPr>
                      <w:i/>
                      <w:iCs/>
                      <w:lang w:val="sv-SE"/>
                    </w:rPr>
                    <w:t>dedicatedPLMNs</w:t>
                  </w:r>
                  <w:r>
                    <w:rPr>
                      <w:lang w:val="sv-SE" w:eastAsia="sv-SE"/>
                    </w:rPr>
                    <w:t xml:space="preserve">. If an entry in this list takes the value </w:t>
                  </w:r>
                  <w:r>
                    <w:rPr>
                      <w:i/>
                      <w:iCs/>
                      <w:lang w:val="sv-SE" w:eastAsia="sv-SE"/>
                    </w:rPr>
                    <w:t>noDisasterRoaming</w:t>
                  </w:r>
                  <w:r>
                    <w:rPr>
                      <w:lang w:val="sv-SE" w:eastAsia="sv-SE"/>
                    </w:rPr>
                    <w:t xml:space="preserve">, disaster roaming is not allowed for this network(s). If an entry in this list takes the value </w:t>
                  </w:r>
                  <w:r w:rsidR="00586B15">
                    <w:rPr>
                      <w:i/>
                      <w:iCs/>
                      <w:color w:val="FF0000"/>
                      <w:lang w:val="sv-SE" w:eastAsia="sv-SE"/>
                    </w:rPr>
                    <w:t>onlyPLMN-ForDisasterRoaming</w:t>
                  </w:r>
                  <w:r w:rsidRPr="00586B15">
                    <w:rPr>
                      <w:color w:val="FF0000"/>
                      <w:lang w:val="sv-SE"/>
                    </w:rPr>
                    <w:t>, disaster conditions appl</w:t>
                  </w:r>
                  <w:r w:rsidR="00117B84">
                    <w:rPr>
                      <w:color w:val="FF0000"/>
                      <w:lang w:val="sv-SE"/>
                    </w:rPr>
                    <w:t>y</w:t>
                  </w:r>
                  <w:r w:rsidRPr="00586B15">
                    <w:rPr>
                      <w:color w:val="FF0000"/>
                      <w:lang w:val="sv-SE"/>
                    </w:rPr>
                    <w:t xml:space="preserve"> to all other PLMNs </w:t>
                  </w:r>
                  <w:r w:rsidR="00586B15" w:rsidRPr="00586B15">
                    <w:rPr>
                      <w:color w:val="FF0000"/>
                      <w:lang w:val="sv-SE"/>
                    </w:rPr>
                    <w:t xml:space="preserve">and this </w:t>
                  </w:r>
                  <w:r w:rsidR="00B06739">
                    <w:rPr>
                      <w:color w:val="FF0000"/>
                      <w:lang w:val="sv-SE"/>
                    </w:rPr>
                    <w:t>is the only network accessible for disaster roamers and this network accepts</w:t>
                  </w:r>
                  <w:r w:rsidR="00586B15" w:rsidRPr="00586B15">
                    <w:rPr>
                      <w:color w:val="FF0000"/>
                      <w:lang w:val="sv-SE"/>
                    </w:rPr>
                    <w:t xml:space="preserve"> disaster </w:t>
                  </w:r>
                  <w:r w:rsidR="00B06739">
                    <w:rPr>
                      <w:color w:val="FF0000"/>
                      <w:lang w:val="sv-SE"/>
                    </w:rPr>
                    <w:t>roamers from any</w:t>
                  </w:r>
                  <w:r w:rsidR="00586B15" w:rsidRPr="00586B15">
                    <w:rPr>
                      <w:color w:val="FF0000"/>
                      <w:lang w:val="sv-SE"/>
                    </w:rPr>
                    <w:t xml:space="preserve"> other PLMN</w:t>
                  </w:r>
                  <w:r>
                    <w:rPr>
                      <w:lang w:val="sv-SE"/>
                    </w:rPr>
                    <w:t xml:space="preserve">. </w:t>
                  </w:r>
                  <w:r>
                    <w:rPr>
                      <w:lang w:val="sv-SE" w:eastAsia="sv-SE"/>
                    </w:rPr>
                    <w:t xml:space="preserve">If an entry in this list takes the value </w:t>
                  </w:r>
                  <w:r>
                    <w:rPr>
                      <w:i/>
                      <w:iCs/>
                      <w:lang w:val="sv-SE"/>
                    </w:rPr>
                    <w:t>commonPLMNs</w:t>
                  </w:r>
                  <w:r>
                    <w:rPr>
                      <w:lang w:val="sv-SE"/>
                    </w:rPr>
                    <w:t xml:space="preserve">, the PLMN(s) with disaster conditions indicated in the field </w:t>
                  </w:r>
                  <w:r>
                    <w:rPr>
                      <w:i/>
                      <w:iCs/>
                      <w:lang w:val="sv-SE"/>
                    </w:rPr>
                    <w:t>commonPLMNsWithDisasterCondition</w:t>
                  </w:r>
                  <w:r>
                    <w:rPr>
                      <w:lang w:val="sv-SE"/>
                    </w:rPr>
                    <w:t xml:space="preserve"> apply for this entry. If an entry in this list contains the value </w:t>
                  </w:r>
                  <w:r>
                    <w:rPr>
                      <w:i/>
                      <w:iCs/>
                      <w:lang w:val="sv-SE"/>
                    </w:rPr>
                    <w:t>dedicatedPLMNs</w:t>
                  </w:r>
                  <w:r>
                    <w:rPr>
                      <w:lang w:val="sv-SE"/>
                    </w:rPr>
                    <w:t xml:space="preserve">, the listed PLMN(s) are the PLMN(s) with disaster conditions that apply to the network(s) corresponding to this entry. </w:t>
                  </w:r>
                  <w:r>
                    <w:rPr>
                      <w:lang w:val="sv-SE" w:eastAsia="sv-SE"/>
                    </w:rPr>
                    <w:t xml:space="preserve">For SNPNs, the network indicates the value </w:t>
                  </w:r>
                  <w:r>
                    <w:rPr>
                      <w:i/>
                      <w:iCs/>
                      <w:lang w:val="sv-SE" w:eastAsia="sv-SE"/>
                    </w:rPr>
                    <w:t>noDisasterRoaming</w:t>
                  </w:r>
                  <w:r>
                    <w:rPr>
                      <w:lang w:val="sv-SE" w:eastAsia="sv-SE"/>
                    </w:rPr>
                    <w:t>.</w:t>
                  </w:r>
                </w:p>
              </w:tc>
            </w:tr>
            <w:bookmarkEnd w:id="3"/>
          </w:tbl>
          <w:p w14:paraId="072F16F5" w14:textId="77777777" w:rsidR="00DD79D3" w:rsidRDefault="00DD79D3" w:rsidP="00EE6B8A">
            <w:pPr>
              <w:rPr>
                <w:rFonts w:ascii="Arial" w:hAnsi="Arial" w:cs="Arial"/>
              </w:rPr>
            </w:pPr>
          </w:p>
        </w:tc>
      </w:tr>
      <w:bookmarkEnd w:id="4"/>
    </w:tbl>
    <w:p w14:paraId="65659C4A" w14:textId="77777777" w:rsidR="00117B84" w:rsidRDefault="00117B84" w:rsidP="00EE6B8A">
      <w:pPr>
        <w:rPr>
          <w:rFonts w:ascii="Arial" w:hAnsi="Arial" w:cs="Arial"/>
        </w:rPr>
      </w:pPr>
    </w:p>
    <w:p w14:paraId="287E164F" w14:textId="6A0155D8" w:rsidR="00062480" w:rsidRDefault="00586B15" w:rsidP="00EE6B8A">
      <w:pPr>
        <w:rPr>
          <w:rFonts w:ascii="Arial" w:hAnsi="Arial" w:cs="Arial"/>
        </w:rPr>
      </w:pPr>
      <w:r>
        <w:rPr>
          <w:rFonts w:ascii="Arial" w:hAnsi="Arial" w:cs="Arial"/>
        </w:rPr>
        <w:t xml:space="preserve">It is our understanding that with this formulation of the single bit, only one PLMN (e.g. in case of RAN sharing) can indicate this single bit. By definition, two networks cannot do so. One may consider </w:t>
      </w:r>
      <w:r w:rsidR="00062480">
        <w:rPr>
          <w:rFonts w:ascii="Arial" w:hAnsi="Arial" w:cs="Arial"/>
        </w:rPr>
        <w:t>adding</w:t>
      </w:r>
      <w:r>
        <w:rPr>
          <w:rFonts w:ascii="Arial" w:hAnsi="Arial" w:cs="Arial"/>
        </w:rPr>
        <w:t xml:space="preserve"> conditions </w:t>
      </w:r>
      <w:r w:rsidR="00062480">
        <w:rPr>
          <w:rFonts w:ascii="Arial" w:hAnsi="Arial" w:cs="Arial"/>
        </w:rPr>
        <w:t xml:space="preserve">(e.g. "Cond") </w:t>
      </w:r>
      <w:r>
        <w:rPr>
          <w:rFonts w:ascii="Arial" w:hAnsi="Arial" w:cs="Arial"/>
        </w:rPr>
        <w:t xml:space="preserve">in </w:t>
      </w:r>
      <w:r w:rsidR="00062480">
        <w:rPr>
          <w:rFonts w:ascii="Arial" w:hAnsi="Arial" w:cs="Arial"/>
        </w:rPr>
        <w:t xml:space="preserve">the </w:t>
      </w:r>
      <w:r>
        <w:rPr>
          <w:rFonts w:ascii="Arial" w:hAnsi="Arial" w:cs="Arial"/>
        </w:rPr>
        <w:t xml:space="preserve">ASN.1 </w:t>
      </w:r>
      <w:r w:rsidR="00062480">
        <w:rPr>
          <w:rFonts w:ascii="Arial" w:hAnsi="Arial" w:cs="Arial"/>
        </w:rPr>
        <w:t xml:space="preserve">itself </w:t>
      </w:r>
      <w:r>
        <w:rPr>
          <w:rFonts w:ascii="Arial" w:hAnsi="Arial" w:cs="Arial"/>
        </w:rPr>
        <w:t xml:space="preserve">to clarify that, in case of RAN sharing, only one of the networks would set this bit. </w:t>
      </w:r>
      <w:r w:rsidR="00062480">
        <w:rPr>
          <w:rFonts w:ascii="Arial" w:hAnsi="Arial" w:cs="Arial"/>
        </w:rPr>
        <w:t>For example, that this field cannot be used if there is a list of PLMNs associated with this entry of "</w:t>
      </w:r>
      <w:proofErr w:type="spellStart"/>
      <w:r w:rsidR="00062480">
        <w:t>ApplicableDisasterInfo</w:t>
      </w:r>
      <w:proofErr w:type="spellEnd"/>
      <w:r w:rsidR="00062480">
        <w:rPr>
          <w:rFonts w:ascii="Arial" w:hAnsi="Arial" w:cs="Arial"/>
        </w:rPr>
        <w:t>".</w:t>
      </w:r>
    </w:p>
    <w:p w14:paraId="694F3917" w14:textId="3D3800A9" w:rsidR="00586B15" w:rsidRDefault="00586B15" w:rsidP="00EE6B8A">
      <w:pPr>
        <w:rPr>
          <w:rFonts w:ascii="Arial" w:hAnsi="Arial" w:cs="Arial"/>
        </w:rPr>
      </w:pPr>
      <w:r>
        <w:rPr>
          <w:rFonts w:ascii="Arial" w:hAnsi="Arial" w:cs="Arial"/>
        </w:rPr>
        <w:t xml:space="preserve">We do however not think that this is well motivated. We think it is up to the network operators to configure their network in an appropriate way. Adding restrictions in ASN.1 would not make it easier to coordinate this but instead the semantics of the </w:t>
      </w:r>
      <w:r w:rsidR="00062480">
        <w:rPr>
          <w:rFonts w:ascii="Arial" w:hAnsi="Arial" w:cs="Arial"/>
        </w:rPr>
        <w:t>bit itself is restriction enough.</w:t>
      </w:r>
    </w:p>
    <w:p w14:paraId="686D607D" w14:textId="2CF6D90B" w:rsidR="00062480" w:rsidRDefault="00062480" w:rsidP="00062480">
      <w:pPr>
        <w:pStyle w:val="Proposal"/>
      </w:pPr>
      <w:bookmarkStart w:id="6" w:name="_Toc101814880"/>
      <w:r>
        <w:t xml:space="preserve">RAN2 adopts the TP above </w:t>
      </w:r>
      <w:r w:rsidR="00673CB9">
        <w:t xml:space="preserve">to capture the </w:t>
      </w:r>
      <w:r>
        <w:t xml:space="preserve">"single bit </w:t>
      </w:r>
      <w:r w:rsidR="00673CB9">
        <w:rPr>
          <w:rFonts w:cs="Arial"/>
        </w:rPr>
        <w:t>indicator</w:t>
      </w:r>
      <w:r w:rsidR="00673CB9">
        <w:t xml:space="preserve"> </w:t>
      </w:r>
      <w:r>
        <w:t>"</w:t>
      </w:r>
      <w:r w:rsidR="00673CB9">
        <w:t xml:space="preserve"> semantics</w:t>
      </w:r>
      <w:r>
        <w:t>.</w:t>
      </w:r>
      <w:bookmarkEnd w:id="6"/>
    </w:p>
    <w:p w14:paraId="3FD0C1F8" w14:textId="3B44EEA9" w:rsidR="00062480" w:rsidRDefault="00062480" w:rsidP="00EE6B8A">
      <w:pPr>
        <w:rPr>
          <w:rFonts w:ascii="Arial" w:hAnsi="Arial" w:cs="Arial"/>
        </w:rPr>
      </w:pPr>
    </w:p>
    <w:p w14:paraId="5E849479" w14:textId="0C8B74B0" w:rsidR="00062480" w:rsidRDefault="00062480" w:rsidP="00062480">
      <w:pPr>
        <w:pStyle w:val="Proposal"/>
      </w:pPr>
      <w:bookmarkStart w:id="7" w:name="_Toc101814881"/>
      <w:r>
        <w:lastRenderedPageBreak/>
        <w:t>RAN2 does not add further restrictions/conditions in ASN.1 to avoid that multiple PLMNs indicate "</w:t>
      </w:r>
      <w:proofErr w:type="spellStart"/>
      <w:r w:rsidRPr="00062480">
        <w:t>onlyPLMN-ForDisasterRoaming</w:t>
      </w:r>
      <w:proofErr w:type="spellEnd"/>
      <w:r>
        <w:t>".</w:t>
      </w:r>
      <w:bookmarkEnd w:id="7"/>
    </w:p>
    <w:p w14:paraId="34B89C00" w14:textId="77777777" w:rsidR="00117B84" w:rsidRDefault="00117B84" w:rsidP="00117B84">
      <w:pPr>
        <w:rPr>
          <w:rFonts w:ascii="Arial" w:hAnsi="Arial" w:cs="Arial"/>
        </w:rPr>
      </w:pPr>
    </w:p>
    <w:p w14:paraId="18334CF6" w14:textId="74CAD6FD" w:rsidR="00117B84" w:rsidRDefault="00117B84" w:rsidP="00117B84">
      <w:pPr>
        <w:rPr>
          <w:rFonts w:ascii="Arial" w:hAnsi="Arial" w:cs="Arial"/>
        </w:rPr>
      </w:pPr>
      <w:r>
        <w:rPr>
          <w:rFonts w:ascii="Arial" w:hAnsi="Arial" w:cs="Arial"/>
        </w:rPr>
        <w:t>The procedure for SIB15 reception also needs updating. Currently it says that the UE shall "</w:t>
      </w:r>
      <w:r>
        <w:rPr>
          <w:lang w:eastAsia="en-US"/>
        </w:rPr>
        <w:t>forward the applicable PLMNs with disaster condition for each PLMN sharing the cell to upper layers</w:t>
      </w:r>
      <w:r>
        <w:rPr>
          <w:rFonts w:ascii="Arial" w:hAnsi="Arial" w:cs="Arial"/>
        </w:rPr>
        <w:t>". But when the single bit approach is used for a PLMN, there will be no "</w:t>
      </w:r>
      <w:r w:rsidRPr="00117B84">
        <w:rPr>
          <w:lang w:eastAsia="en-US"/>
        </w:rPr>
        <w:t xml:space="preserve"> </w:t>
      </w:r>
      <w:r>
        <w:rPr>
          <w:lang w:eastAsia="en-US"/>
        </w:rPr>
        <w:t>applicable PLMNs with disaster condition</w:t>
      </w:r>
      <w:r>
        <w:rPr>
          <w:rFonts w:ascii="Arial" w:hAnsi="Arial" w:cs="Arial"/>
        </w:rPr>
        <w:t>" that RRC can forward.</w:t>
      </w:r>
    </w:p>
    <w:p w14:paraId="294577C1" w14:textId="6DDDC5E6" w:rsidR="00117B84" w:rsidRDefault="00117B84" w:rsidP="00117B84">
      <w:pPr>
        <w:rPr>
          <w:rFonts w:ascii="Arial" w:hAnsi="Arial" w:cs="Arial"/>
        </w:rPr>
      </w:pPr>
      <w:r>
        <w:rPr>
          <w:rFonts w:ascii="Arial" w:hAnsi="Arial" w:cs="Arial"/>
        </w:rPr>
        <w:t>We think that the SIB15 reception procedure should instead say that the UE forward the "applicable disaster information". Note: "applicable disaster information" is the term used in the ASN.1 and field descriptions already now. The procedure can say:</w:t>
      </w:r>
    </w:p>
    <w:tbl>
      <w:tblPr>
        <w:tblStyle w:val="TableGrid"/>
        <w:tblW w:w="0" w:type="auto"/>
        <w:tblInd w:w="421" w:type="dxa"/>
        <w:tblLook w:val="04A0" w:firstRow="1" w:lastRow="0" w:firstColumn="1" w:lastColumn="0" w:noHBand="0" w:noVBand="1"/>
      </w:tblPr>
      <w:tblGrid>
        <w:gridCol w:w="8505"/>
      </w:tblGrid>
      <w:tr w:rsidR="00117B84" w14:paraId="29D48D13" w14:textId="77777777" w:rsidTr="007B2458">
        <w:tc>
          <w:tcPr>
            <w:tcW w:w="8505" w:type="dxa"/>
          </w:tcPr>
          <w:p w14:paraId="690FF317" w14:textId="77777777" w:rsidR="00117B84" w:rsidRDefault="00117B84" w:rsidP="007B2458">
            <w:pPr>
              <w:pStyle w:val="Heading5"/>
              <w:outlineLvl w:val="4"/>
              <w:rPr>
                <w:lang w:eastAsia="en-US"/>
              </w:rPr>
            </w:pPr>
            <w:bookmarkStart w:id="8" w:name="_Toc100929525"/>
            <w:bookmarkStart w:id="9" w:name="_Hlk101289537"/>
            <w:bookmarkStart w:id="10" w:name="_Hlk101289546"/>
            <w:r>
              <w:t>5.2.2.4.17</w:t>
            </w:r>
            <w:r>
              <w:tab/>
              <w:t xml:space="preserve">Actions upon reception of </w:t>
            </w:r>
            <w:r>
              <w:rPr>
                <w:i/>
              </w:rPr>
              <w:t>SIB15</w:t>
            </w:r>
            <w:bookmarkEnd w:id="8"/>
          </w:p>
          <w:p w14:paraId="23ED9A3D" w14:textId="77777777" w:rsidR="00117B84" w:rsidRDefault="00117B84" w:rsidP="007B2458">
            <w:r>
              <w:t xml:space="preserve">Upon receiving </w:t>
            </w:r>
            <w:r>
              <w:rPr>
                <w:i/>
                <w:iCs/>
              </w:rPr>
              <w:t>SIB15</w:t>
            </w:r>
            <w:r>
              <w:t>, the UE shall:</w:t>
            </w:r>
          </w:p>
          <w:p w14:paraId="050B9EB7" w14:textId="647FEAF3" w:rsidR="00117B84" w:rsidRDefault="00117B84" w:rsidP="00117B84">
            <w:pPr>
              <w:pStyle w:val="B1"/>
              <w:rPr>
                <w:rFonts w:ascii="Arial" w:hAnsi="Arial" w:cs="Arial"/>
              </w:rPr>
            </w:pPr>
            <w:r>
              <w:t>1&gt;</w:t>
            </w:r>
            <w:r>
              <w:tab/>
              <w:t xml:space="preserve">forward the </w:t>
            </w:r>
            <w:r w:rsidRPr="00117B84">
              <w:rPr>
                <w:color w:val="FF0000"/>
              </w:rPr>
              <w:t xml:space="preserve">applicable disaster information </w:t>
            </w:r>
            <w:r>
              <w:t>for each PLMN sharing the cell to upper layers.</w:t>
            </w:r>
            <w:bookmarkEnd w:id="9"/>
          </w:p>
        </w:tc>
      </w:tr>
      <w:bookmarkEnd w:id="10"/>
    </w:tbl>
    <w:p w14:paraId="0D5049AF" w14:textId="6F7D43EB" w:rsidR="00117B84" w:rsidRDefault="00117B84" w:rsidP="00EE6B8A">
      <w:pPr>
        <w:rPr>
          <w:rFonts w:ascii="Arial" w:hAnsi="Arial" w:cs="Arial"/>
        </w:rPr>
      </w:pPr>
    </w:p>
    <w:p w14:paraId="02193532" w14:textId="07AE8450" w:rsidR="006129F5" w:rsidRDefault="006129F5" w:rsidP="00EE6B8A">
      <w:pPr>
        <w:rPr>
          <w:rFonts w:ascii="Arial" w:hAnsi="Arial" w:cs="Arial"/>
        </w:rPr>
      </w:pPr>
      <w:r>
        <w:rPr>
          <w:rFonts w:ascii="Arial" w:hAnsi="Arial" w:cs="Arial"/>
        </w:rPr>
        <w:t>Note, "applicable disaster information" is also the term we used in 36.304 and 38.304 when describing the AS and NAS interaction for MINT:</w:t>
      </w:r>
    </w:p>
    <w:tbl>
      <w:tblPr>
        <w:tblStyle w:val="TableGrid"/>
        <w:tblW w:w="0" w:type="auto"/>
        <w:tblInd w:w="421" w:type="dxa"/>
        <w:tblLook w:val="04A0" w:firstRow="1" w:lastRow="0" w:firstColumn="1" w:lastColumn="0" w:noHBand="0" w:noVBand="1"/>
      </w:tblPr>
      <w:tblGrid>
        <w:gridCol w:w="8555"/>
      </w:tblGrid>
      <w:tr w:rsidR="006129F5" w14:paraId="1B3DF766" w14:textId="77777777" w:rsidTr="006129F5">
        <w:tc>
          <w:tcPr>
            <w:tcW w:w="8505" w:type="dxa"/>
          </w:tcPr>
          <w:p w14:paraId="3348BEE0" w14:textId="77777777" w:rsidR="006129F5" w:rsidRPr="00BD7C0F" w:rsidRDefault="006129F5" w:rsidP="006129F5">
            <w:pPr>
              <w:pStyle w:val="Heading2"/>
              <w:outlineLvl w:val="1"/>
            </w:pPr>
            <w:bookmarkStart w:id="11" w:name="_Toc29245187"/>
            <w:bookmarkStart w:id="12" w:name="_Toc37298530"/>
            <w:bookmarkStart w:id="13" w:name="_Toc46502292"/>
            <w:bookmarkStart w:id="14" w:name="_Toc52749269"/>
            <w:bookmarkStart w:id="15" w:name="_Toc100784073"/>
            <w:r w:rsidRPr="00BD7C0F">
              <w:t>4.2</w:t>
            </w:r>
            <w:r w:rsidRPr="00BD7C0F">
              <w:tab/>
              <w:t>Functional division between AS and NAS in RRC_IDLE state and RRC_INACTIVE state</w:t>
            </w:r>
            <w:bookmarkEnd w:id="11"/>
            <w:bookmarkEnd w:id="12"/>
            <w:bookmarkEnd w:id="13"/>
            <w:bookmarkEnd w:id="14"/>
            <w:bookmarkEnd w:id="15"/>
          </w:p>
          <w:p w14:paraId="08CF6168" w14:textId="77777777" w:rsidR="006129F5" w:rsidRPr="00BD7C0F" w:rsidRDefault="006129F5" w:rsidP="006129F5">
            <w:pPr>
              <w:keepNext/>
              <w:keepLines/>
            </w:pPr>
            <w:r w:rsidRPr="00BD7C0F">
              <w:t>Table 4.2-1 presents the functional division between UE non-access stratum (NAS) and UE access stratum (AS) in RRC_IDLE state and RRC_INACTIVE states. The NAS part is specified in TS 23.122 [9] and the AS part in the present document.</w:t>
            </w:r>
          </w:p>
          <w:p w14:paraId="16D897F1" w14:textId="77777777" w:rsidR="006129F5" w:rsidRPr="00BD7C0F" w:rsidRDefault="006129F5" w:rsidP="006129F5">
            <w:pPr>
              <w:pStyle w:val="TH"/>
            </w:pPr>
            <w:r w:rsidRPr="00BD7C0F">
              <w:t>Table 4.2-1: Functional division between AS and NAS in RRC_IDLE state and RRC_INACTIVE state</w:t>
            </w:r>
          </w:p>
          <w:tbl>
            <w:tblPr>
              <w:tblW w:w="8339" w:type="dxa"/>
              <w:tblBorders>
                <w:insideH w:val="single" w:sz="6" w:space="0" w:color="auto"/>
                <w:insideV w:val="single" w:sz="6" w:space="0" w:color="auto"/>
              </w:tblBorders>
              <w:tblLook w:val="0000" w:firstRow="0" w:lastRow="0" w:firstColumn="0" w:lastColumn="0" w:noHBand="0" w:noVBand="0"/>
            </w:tblPr>
            <w:tblGrid>
              <w:gridCol w:w="1547"/>
              <w:gridCol w:w="3638"/>
              <w:gridCol w:w="3154"/>
            </w:tblGrid>
            <w:tr w:rsidR="006129F5" w:rsidRPr="00BD7C0F" w14:paraId="1AA503AB" w14:textId="77777777" w:rsidTr="006129F5">
              <w:trPr>
                <w:trHeight w:val="609"/>
                <w:tblHeader/>
              </w:trPr>
              <w:tc>
                <w:tcPr>
                  <w:tcW w:w="1463" w:type="dxa"/>
                </w:tcPr>
                <w:p w14:paraId="0E49C521" w14:textId="77777777" w:rsidR="006129F5" w:rsidRPr="00BD7C0F" w:rsidRDefault="006129F5" w:rsidP="006129F5">
                  <w:pPr>
                    <w:pStyle w:val="TAH"/>
                    <w:rPr>
                      <w:lang w:eastAsia="en-US"/>
                    </w:rPr>
                  </w:pPr>
                  <w:r w:rsidRPr="00BD7C0F">
                    <w:rPr>
                      <w:lang w:eastAsia="en-US"/>
                    </w:rPr>
                    <w:t>RRC_IDLE and RRC_INACTIVE state Process</w:t>
                  </w:r>
                </w:p>
              </w:tc>
              <w:tc>
                <w:tcPr>
                  <w:tcW w:w="3684" w:type="dxa"/>
                </w:tcPr>
                <w:p w14:paraId="3F1C4EE4" w14:textId="77777777" w:rsidR="006129F5" w:rsidRPr="00BD7C0F" w:rsidRDefault="006129F5" w:rsidP="006129F5">
                  <w:pPr>
                    <w:pStyle w:val="TAH"/>
                    <w:rPr>
                      <w:lang w:eastAsia="en-US"/>
                    </w:rPr>
                  </w:pPr>
                  <w:r w:rsidRPr="00BD7C0F">
                    <w:rPr>
                      <w:lang w:eastAsia="en-US"/>
                    </w:rPr>
                    <w:t>UE Non-Access Stratum</w:t>
                  </w:r>
                </w:p>
              </w:tc>
              <w:tc>
                <w:tcPr>
                  <w:tcW w:w="3192" w:type="dxa"/>
                </w:tcPr>
                <w:p w14:paraId="3C0B5ABE" w14:textId="77777777" w:rsidR="006129F5" w:rsidRPr="00BD7C0F" w:rsidRDefault="006129F5" w:rsidP="006129F5">
                  <w:pPr>
                    <w:pStyle w:val="TAH"/>
                    <w:rPr>
                      <w:lang w:eastAsia="en-US"/>
                    </w:rPr>
                  </w:pPr>
                  <w:r w:rsidRPr="00BD7C0F">
                    <w:rPr>
                      <w:lang w:eastAsia="en-US"/>
                    </w:rPr>
                    <w:t>UE Access Stratum</w:t>
                  </w:r>
                </w:p>
              </w:tc>
            </w:tr>
            <w:tr w:rsidR="006129F5" w:rsidRPr="00BD7C0F" w14:paraId="05DB46CB" w14:textId="77777777" w:rsidTr="006129F5">
              <w:trPr>
                <w:trHeight w:val="1853"/>
              </w:trPr>
              <w:tc>
                <w:tcPr>
                  <w:tcW w:w="1463" w:type="dxa"/>
                </w:tcPr>
                <w:p w14:paraId="478A6607" w14:textId="77777777" w:rsidR="006129F5" w:rsidRPr="00BD7C0F" w:rsidRDefault="006129F5" w:rsidP="006129F5">
                  <w:pPr>
                    <w:pStyle w:val="TAL"/>
                    <w:rPr>
                      <w:lang w:eastAsia="en-US"/>
                    </w:rPr>
                  </w:pPr>
                  <w:r w:rsidRPr="00BD7C0F">
                    <w:rPr>
                      <w:lang w:eastAsia="en-US"/>
                    </w:rPr>
                    <w:t xml:space="preserve">PLMN Selection </w:t>
                  </w:r>
                  <w:r w:rsidRPr="00BD7C0F">
                    <w:t>and SNPN Selection</w:t>
                  </w:r>
                </w:p>
              </w:tc>
              <w:tc>
                <w:tcPr>
                  <w:tcW w:w="3684" w:type="dxa"/>
                </w:tcPr>
                <w:p w14:paraId="2378E925" w14:textId="77777777" w:rsidR="006129F5" w:rsidRPr="00BD7C0F" w:rsidRDefault="006129F5" w:rsidP="006129F5">
                  <w:pPr>
                    <w:pStyle w:val="TAL"/>
                    <w:rPr>
                      <w:b/>
                      <w:bCs/>
                    </w:rPr>
                  </w:pPr>
                  <w:r w:rsidRPr="00BD7C0F">
                    <w:rPr>
                      <w:b/>
                      <w:bCs/>
                    </w:rPr>
                    <w:t>For a UE not operating in SNPN access mode, perform the following:</w:t>
                  </w:r>
                </w:p>
                <w:p w14:paraId="5D403ED9" w14:textId="150974FE" w:rsidR="006129F5" w:rsidRPr="006129F5" w:rsidRDefault="006129F5" w:rsidP="006129F5">
                  <w:pPr>
                    <w:pStyle w:val="TAL"/>
                    <w:ind w:left="284"/>
                    <w:rPr>
                      <w:lang w:val="sv-SE" w:eastAsia="en-US"/>
                    </w:rPr>
                  </w:pPr>
                  <w:r>
                    <w:rPr>
                      <w:lang w:val="sv-SE" w:eastAsia="en-US"/>
                    </w:rPr>
                    <w:t>[...]</w:t>
                  </w:r>
                </w:p>
                <w:p w14:paraId="04B7FC5A" w14:textId="77777777" w:rsidR="006129F5" w:rsidRPr="00BD7C0F" w:rsidRDefault="006129F5" w:rsidP="006129F5">
                  <w:pPr>
                    <w:pStyle w:val="TAL"/>
                    <w:ind w:left="284"/>
                    <w:rPr>
                      <w:lang w:eastAsia="en-US"/>
                    </w:rPr>
                  </w:pPr>
                  <w:r w:rsidRPr="006129F5">
                    <w:rPr>
                      <w:highlight w:val="yellow"/>
                      <w:lang w:eastAsia="en-US"/>
                    </w:rPr>
                    <w:t>Maintain applicable disaster roaming information for available PLMNs including potential disaster PLMNs for available PLMNs.</w:t>
                  </w:r>
                </w:p>
                <w:p w14:paraId="2158C34B" w14:textId="102EB129" w:rsidR="006129F5" w:rsidRPr="00BD7C0F" w:rsidRDefault="006129F5" w:rsidP="006129F5">
                  <w:pPr>
                    <w:pStyle w:val="TAL"/>
                    <w:ind w:left="284"/>
                    <w:rPr>
                      <w:lang w:eastAsia="en-US"/>
                    </w:rPr>
                  </w:pPr>
                  <w:r>
                    <w:rPr>
                      <w:lang w:val="sv-SE" w:eastAsia="en-US"/>
                    </w:rPr>
                    <w:t>[...]</w:t>
                  </w:r>
                </w:p>
                <w:p w14:paraId="05F07738" w14:textId="6B5EA2D0" w:rsidR="006129F5" w:rsidRPr="00BD7C0F" w:rsidRDefault="006129F5" w:rsidP="006129F5">
                  <w:pPr>
                    <w:pStyle w:val="TAL"/>
                    <w:rPr>
                      <w:lang w:eastAsia="en-US"/>
                    </w:rPr>
                  </w:pPr>
                </w:p>
              </w:tc>
              <w:tc>
                <w:tcPr>
                  <w:tcW w:w="3192" w:type="dxa"/>
                </w:tcPr>
                <w:p w14:paraId="192FF2E3" w14:textId="2B62D2D4" w:rsidR="006129F5" w:rsidRPr="006129F5" w:rsidRDefault="006129F5" w:rsidP="006129F5">
                  <w:pPr>
                    <w:pStyle w:val="TAL"/>
                    <w:rPr>
                      <w:lang w:val="sv-SE"/>
                    </w:rPr>
                  </w:pPr>
                  <w:r>
                    <w:rPr>
                      <w:lang w:val="sv-SE"/>
                    </w:rPr>
                    <w:t>[...]</w:t>
                  </w:r>
                </w:p>
                <w:p w14:paraId="375267E7" w14:textId="77777777" w:rsidR="006129F5" w:rsidRPr="00BD7C0F" w:rsidRDefault="006129F5" w:rsidP="006129F5">
                  <w:pPr>
                    <w:pStyle w:val="TAL"/>
                    <w:rPr>
                      <w:lang w:eastAsia="en-US"/>
                    </w:rPr>
                  </w:pPr>
                  <w:r w:rsidRPr="006129F5">
                    <w:rPr>
                      <w:highlight w:val="yellow"/>
                      <w:lang w:eastAsia="en-US"/>
                    </w:rPr>
                    <w:t>Report applicable disaster roaming information for available PLMNs autonomously including potential disaster PLMNs.</w:t>
                  </w:r>
                </w:p>
                <w:p w14:paraId="0F3881E1" w14:textId="5F85B007" w:rsidR="006129F5" w:rsidRPr="006129F5" w:rsidRDefault="006129F5" w:rsidP="006129F5">
                  <w:pPr>
                    <w:pStyle w:val="TAL"/>
                    <w:rPr>
                      <w:lang w:val="sv-SE" w:eastAsia="en-US"/>
                    </w:rPr>
                  </w:pPr>
                  <w:r>
                    <w:rPr>
                      <w:lang w:val="sv-SE"/>
                    </w:rPr>
                    <w:t>[...]</w:t>
                  </w:r>
                </w:p>
              </w:tc>
            </w:tr>
          </w:tbl>
          <w:p w14:paraId="083CB024" w14:textId="77777777" w:rsidR="006129F5" w:rsidRDefault="006129F5" w:rsidP="00EE6B8A">
            <w:pPr>
              <w:rPr>
                <w:rFonts w:ascii="Arial" w:hAnsi="Arial" w:cs="Arial"/>
              </w:rPr>
            </w:pPr>
          </w:p>
        </w:tc>
      </w:tr>
    </w:tbl>
    <w:p w14:paraId="6F2C18C7" w14:textId="77777777" w:rsidR="006129F5" w:rsidRDefault="006129F5" w:rsidP="00EE6B8A">
      <w:pPr>
        <w:rPr>
          <w:rFonts w:ascii="Arial" w:hAnsi="Arial" w:cs="Arial"/>
        </w:rPr>
      </w:pPr>
    </w:p>
    <w:p w14:paraId="3EDD818B" w14:textId="26E66C45" w:rsidR="006129F5" w:rsidRDefault="006129F5" w:rsidP="00EE6B8A">
      <w:pPr>
        <w:rPr>
          <w:rFonts w:ascii="Arial" w:hAnsi="Arial" w:cs="Arial"/>
        </w:rPr>
      </w:pPr>
      <w:r>
        <w:rPr>
          <w:rFonts w:ascii="Arial" w:hAnsi="Arial" w:cs="Arial"/>
        </w:rPr>
        <w:t>We propose to adopt the TP above:</w:t>
      </w:r>
    </w:p>
    <w:p w14:paraId="70D45EBE" w14:textId="77777777" w:rsidR="006129F5" w:rsidRDefault="006129F5" w:rsidP="00EE6B8A">
      <w:pPr>
        <w:rPr>
          <w:rFonts w:ascii="Arial" w:hAnsi="Arial" w:cs="Arial"/>
        </w:rPr>
      </w:pPr>
    </w:p>
    <w:p w14:paraId="3815230A" w14:textId="6F04DA8B" w:rsidR="00673CB9" w:rsidRDefault="00673CB9" w:rsidP="00673CB9">
      <w:pPr>
        <w:pStyle w:val="Proposal"/>
      </w:pPr>
      <w:bookmarkStart w:id="16" w:name="_Toc101814882"/>
      <w:r>
        <w:t>RAN2 adopts the TP above for UE actions upon SIB15 reception to cover also the "single bit indicator".</w:t>
      </w:r>
      <w:bookmarkEnd w:id="16"/>
    </w:p>
    <w:p w14:paraId="09AF4326" w14:textId="77777777" w:rsidR="00673CB9" w:rsidRDefault="00673CB9" w:rsidP="00EE6B8A">
      <w:pPr>
        <w:rPr>
          <w:rFonts w:ascii="Arial" w:hAnsi="Arial" w:cs="Arial"/>
        </w:rPr>
      </w:pPr>
    </w:p>
    <w:p w14:paraId="0B39BCAC" w14:textId="5CE6D04A" w:rsidR="00DD79D3" w:rsidRDefault="00CB44CE" w:rsidP="00EE6B8A">
      <w:pPr>
        <w:rPr>
          <w:rFonts w:ascii="Arial" w:hAnsi="Arial" w:cs="Arial"/>
        </w:rPr>
      </w:pPr>
      <w:r>
        <w:rPr>
          <w:rFonts w:ascii="Arial" w:hAnsi="Arial" w:cs="Arial"/>
        </w:rPr>
        <w:t>CRs to implement the above is provided in:</w:t>
      </w:r>
      <w:r w:rsidR="004B1019">
        <w:rPr>
          <w:rFonts w:ascii="Arial" w:hAnsi="Arial" w:cs="Arial"/>
        </w:rPr>
        <w:t xml:space="preserve"> </w:t>
      </w:r>
      <w:hyperlink r:id="rId11" w:history="1">
        <w:r w:rsidR="00C77FDC" w:rsidRPr="00A53847">
          <w:rPr>
            <w:rStyle w:val="Hyperlink"/>
            <w:rFonts w:ascii="Arial" w:hAnsi="Arial" w:cs="Arial"/>
          </w:rPr>
          <w:t>R2-2205868</w:t>
        </w:r>
      </w:hyperlink>
      <w:r w:rsidR="0022523E">
        <w:rPr>
          <w:rFonts w:ascii="Arial" w:hAnsi="Arial" w:cs="Arial"/>
        </w:rPr>
        <w:t xml:space="preserve"> (NR RRC)</w:t>
      </w:r>
      <w:r w:rsidR="004B1019">
        <w:rPr>
          <w:rFonts w:ascii="Arial" w:hAnsi="Arial" w:cs="Arial"/>
        </w:rPr>
        <w:t xml:space="preserve"> and </w:t>
      </w:r>
      <w:hyperlink r:id="rId12" w:history="1">
        <w:r w:rsidR="004E5AF9" w:rsidRPr="00A53847">
          <w:rPr>
            <w:rStyle w:val="Hyperlink"/>
            <w:rFonts w:ascii="Arial" w:hAnsi="Arial" w:cs="Arial"/>
          </w:rPr>
          <w:t>R2-2205867</w:t>
        </w:r>
      </w:hyperlink>
      <w:r w:rsidR="0022523E">
        <w:rPr>
          <w:rFonts w:ascii="Arial" w:hAnsi="Arial" w:cs="Arial"/>
        </w:rPr>
        <w:t xml:space="preserve"> (LTE RRC)</w:t>
      </w:r>
      <w:r w:rsidR="004B1019">
        <w:rPr>
          <w:rFonts w:ascii="Arial" w:hAnsi="Arial" w:cs="Arial"/>
        </w:rPr>
        <w:t>.</w:t>
      </w:r>
    </w:p>
    <w:p w14:paraId="2C02125F" w14:textId="287227E3" w:rsidR="00C01F33" w:rsidRPr="00CE0424" w:rsidRDefault="003C1669" w:rsidP="00CE0424">
      <w:pPr>
        <w:pStyle w:val="Heading1"/>
      </w:pPr>
      <w:r>
        <w:lastRenderedPageBreak/>
        <w:t>3</w:t>
      </w:r>
      <w:r>
        <w:tab/>
      </w:r>
      <w:r w:rsidR="00C01F33" w:rsidRPr="00CE0424">
        <w:t>Conclusion</w:t>
      </w:r>
    </w:p>
    <w:p w14:paraId="1EFB6D92" w14:textId="77777777" w:rsidR="0075172F" w:rsidRPr="00106847" w:rsidRDefault="0075172F" w:rsidP="0075172F">
      <w:pPr>
        <w:rPr>
          <w:rFonts w:ascii="Arial" w:hAnsi="Arial"/>
          <w:lang w:eastAsia="zh-CN"/>
        </w:rPr>
      </w:pPr>
      <w:r w:rsidRPr="00106847">
        <w:rPr>
          <w:rFonts w:ascii="Arial" w:hAnsi="Arial"/>
          <w:lang w:eastAsia="zh-CN"/>
        </w:rPr>
        <w:t>Based on the discussion above we propose:</w:t>
      </w:r>
    </w:p>
    <w:p w14:paraId="3CCACB22" w14:textId="30A9E2D1" w:rsidR="00A53847" w:rsidRDefault="0075172F">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14879" w:history="1">
        <w:r w:rsidR="00A53847" w:rsidRPr="00CA1CDA">
          <w:rPr>
            <w:rStyle w:val="Hyperlink"/>
            <w:noProof/>
          </w:rPr>
          <w:t>Proposal 1</w:t>
        </w:r>
        <w:r w:rsidR="00A53847">
          <w:rPr>
            <w:rFonts w:asciiTheme="minorHAnsi" w:eastAsiaTheme="minorEastAsia" w:hAnsiTheme="minorHAnsi" w:cstheme="minorBidi"/>
            <w:b w:val="0"/>
            <w:noProof/>
            <w:sz w:val="22"/>
            <w:szCs w:val="22"/>
          </w:rPr>
          <w:tab/>
        </w:r>
        <w:r w:rsidR="00A53847" w:rsidRPr="00CA1CDA">
          <w:rPr>
            <w:rStyle w:val="Hyperlink"/>
            <w:noProof/>
          </w:rPr>
          <w:t>The single bit is called "onlyPLMN-ForDisasterRoaming"</w:t>
        </w:r>
      </w:hyperlink>
    </w:p>
    <w:p w14:paraId="4ADFA11E" w14:textId="46FCAB93" w:rsidR="00A53847" w:rsidRDefault="00A53847">
      <w:pPr>
        <w:pStyle w:val="TableofFigures"/>
        <w:tabs>
          <w:tab w:val="right" w:leader="dot" w:pos="9629"/>
        </w:tabs>
        <w:rPr>
          <w:rFonts w:asciiTheme="minorHAnsi" w:eastAsiaTheme="minorEastAsia" w:hAnsiTheme="minorHAnsi" w:cstheme="minorBidi"/>
          <w:b w:val="0"/>
          <w:noProof/>
          <w:sz w:val="22"/>
          <w:szCs w:val="22"/>
        </w:rPr>
      </w:pPr>
      <w:hyperlink w:anchor="_Toc101814880" w:history="1">
        <w:r w:rsidRPr="00CA1CDA">
          <w:rPr>
            <w:rStyle w:val="Hyperlink"/>
            <w:noProof/>
          </w:rPr>
          <w:t>Proposal 2</w:t>
        </w:r>
        <w:r>
          <w:rPr>
            <w:rFonts w:asciiTheme="minorHAnsi" w:eastAsiaTheme="minorEastAsia" w:hAnsiTheme="minorHAnsi" w:cstheme="minorBidi"/>
            <w:b w:val="0"/>
            <w:noProof/>
            <w:sz w:val="22"/>
            <w:szCs w:val="22"/>
          </w:rPr>
          <w:tab/>
        </w:r>
        <w:r w:rsidRPr="00CA1CDA">
          <w:rPr>
            <w:rStyle w:val="Hyperlink"/>
            <w:noProof/>
          </w:rPr>
          <w:t xml:space="preserve">RAN2 adopts the TP above to capture the "single bit </w:t>
        </w:r>
        <w:r w:rsidRPr="00CA1CDA">
          <w:rPr>
            <w:rStyle w:val="Hyperlink"/>
            <w:rFonts w:cs="Arial"/>
            <w:noProof/>
          </w:rPr>
          <w:t>indicator</w:t>
        </w:r>
        <w:r w:rsidRPr="00CA1CDA">
          <w:rPr>
            <w:rStyle w:val="Hyperlink"/>
            <w:noProof/>
          </w:rPr>
          <w:t xml:space="preserve"> " semantics.</w:t>
        </w:r>
      </w:hyperlink>
    </w:p>
    <w:p w14:paraId="0034E241" w14:textId="000B44B0" w:rsidR="00A53847" w:rsidRDefault="00A53847">
      <w:pPr>
        <w:pStyle w:val="TableofFigures"/>
        <w:tabs>
          <w:tab w:val="right" w:leader="dot" w:pos="9629"/>
        </w:tabs>
        <w:rPr>
          <w:rFonts w:asciiTheme="minorHAnsi" w:eastAsiaTheme="minorEastAsia" w:hAnsiTheme="minorHAnsi" w:cstheme="minorBidi"/>
          <w:b w:val="0"/>
          <w:noProof/>
          <w:sz w:val="22"/>
          <w:szCs w:val="22"/>
        </w:rPr>
      </w:pPr>
      <w:hyperlink w:anchor="_Toc101814881" w:history="1">
        <w:r w:rsidRPr="00CA1CDA">
          <w:rPr>
            <w:rStyle w:val="Hyperlink"/>
            <w:noProof/>
          </w:rPr>
          <w:t>Proposal 3</w:t>
        </w:r>
        <w:r>
          <w:rPr>
            <w:rFonts w:asciiTheme="minorHAnsi" w:eastAsiaTheme="minorEastAsia" w:hAnsiTheme="minorHAnsi" w:cstheme="minorBidi"/>
            <w:b w:val="0"/>
            <w:noProof/>
            <w:sz w:val="22"/>
            <w:szCs w:val="22"/>
          </w:rPr>
          <w:tab/>
        </w:r>
        <w:r w:rsidRPr="00CA1CDA">
          <w:rPr>
            <w:rStyle w:val="Hyperlink"/>
            <w:noProof/>
          </w:rPr>
          <w:t>RAN2 does not add further restrictions/conditions in ASN.1 to avoid that multiple PLMNs indicate "onlyPLMN-ForDisasterRoaming".</w:t>
        </w:r>
      </w:hyperlink>
    </w:p>
    <w:p w14:paraId="07D88FBD" w14:textId="5CF32ABF" w:rsidR="00A53847" w:rsidRDefault="00A53847">
      <w:pPr>
        <w:pStyle w:val="TableofFigures"/>
        <w:tabs>
          <w:tab w:val="right" w:leader="dot" w:pos="9629"/>
        </w:tabs>
        <w:rPr>
          <w:rFonts w:asciiTheme="minorHAnsi" w:eastAsiaTheme="minorEastAsia" w:hAnsiTheme="minorHAnsi" w:cstheme="minorBidi"/>
          <w:b w:val="0"/>
          <w:noProof/>
          <w:sz w:val="22"/>
          <w:szCs w:val="22"/>
        </w:rPr>
      </w:pPr>
      <w:hyperlink w:anchor="_Toc101814882" w:history="1">
        <w:r w:rsidRPr="00CA1CDA">
          <w:rPr>
            <w:rStyle w:val="Hyperlink"/>
            <w:noProof/>
          </w:rPr>
          <w:t>Proposal 4</w:t>
        </w:r>
        <w:r>
          <w:rPr>
            <w:rFonts w:asciiTheme="minorHAnsi" w:eastAsiaTheme="minorEastAsia" w:hAnsiTheme="minorHAnsi" w:cstheme="minorBidi"/>
            <w:b w:val="0"/>
            <w:noProof/>
            <w:sz w:val="22"/>
            <w:szCs w:val="22"/>
          </w:rPr>
          <w:tab/>
        </w:r>
        <w:r w:rsidRPr="00CA1CDA">
          <w:rPr>
            <w:rStyle w:val="Hyperlink"/>
            <w:noProof/>
          </w:rPr>
          <w:t>RAN2 adopts the TP above for UE actions upon SIB15 reception to cover also the "single bit indicator".</w:t>
        </w:r>
      </w:hyperlink>
    </w:p>
    <w:p w14:paraId="6E5F14F5" w14:textId="1A0EFB03" w:rsidR="00842A37" w:rsidRPr="00842A37" w:rsidRDefault="0075172F" w:rsidP="008E065E">
      <w:pPr>
        <w:pStyle w:val="BodyText"/>
        <w:rPr>
          <w:b/>
          <w:bCs/>
          <w:lang w:val="en-US"/>
        </w:rPr>
      </w:pPr>
      <w:r>
        <w:rPr>
          <w:b/>
          <w:bCs/>
          <w:lang w:val="en-US"/>
        </w:rPr>
        <w:fldChar w:fldCharType="end"/>
      </w:r>
    </w:p>
    <w:sectPr w:rsidR="00842A37" w:rsidRPr="00842A3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6DFB8" w14:textId="77777777" w:rsidR="008E393E" w:rsidRDefault="008E393E">
      <w:r>
        <w:separator/>
      </w:r>
    </w:p>
  </w:endnote>
  <w:endnote w:type="continuationSeparator" w:id="0">
    <w:p w14:paraId="77B61386" w14:textId="77777777" w:rsidR="008E393E" w:rsidRDefault="008E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C5E76" w14:textId="77777777" w:rsidR="008E393E" w:rsidRDefault="008E393E">
      <w:r>
        <w:separator/>
      </w:r>
    </w:p>
  </w:footnote>
  <w:footnote w:type="continuationSeparator" w:id="0">
    <w:p w14:paraId="1B974466" w14:textId="77777777" w:rsidR="008E393E" w:rsidRDefault="008E3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21"/>
  </w:num>
  <w:num w:numId="3">
    <w:abstractNumId w:val="17"/>
  </w:num>
  <w:num w:numId="4">
    <w:abstractNumId w:val="18"/>
  </w:num>
  <w:num w:numId="5">
    <w:abstractNumId w:val="14"/>
  </w:num>
  <w:num w:numId="6">
    <w:abstractNumId w:val="20"/>
  </w:num>
  <w:num w:numId="7">
    <w:abstractNumId w:val="24"/>
  </w:num>
  <w:num w:numId="8">
    <w:abstractNumId w:val="15"/>
  </w:num>
  <w:num w:numId="9">
    <w:abstractNumId w:val="13"/>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8"/>
  </w:num>
  <w:num w:numId="18">
    <w:abstractNumId w:val="12"/>
  </w:num>
  <w:num w:numId="19">
    <w:abstractNumId w:val="6"/>
  </w:num>
  <w:num w:numId="20">
    <w:abstractNumId w:val="30"/>
  </w:num>
  <w:num w:numId="21">
    <w:abstractNumId w:val="16"/>
  </w:num>
  <w:num w:numId="22">
    <w:abstractNumId w:val="28"/>
  </w:num>
  <w:num w:numId="23">
    <w:abstractNumId w:val="7"/>
  </w:num>
  <w:num w:numId="24">
    <w:abstractNumId w:val="26"/>
  </w:num>
  <w:num w:numId="25">
    <w:abstractNumId w:val="31"/>
  </w:num>
  <w:num w:numId="26">
    <w:abstractNumId w:val="27"/>
  </w:num>
  <w:num w:numId="27">
    <w:abstractNumId w:val="29"/>
  </w:num>
  <w:num w:numId="28">
    <w:abstractNumId w:val="9"/>
  </w:num>
  <w:num w:numId="29">
    <w:abstractNumId w:val="11"/>
  </w:num>
  <w:num w:numId="30">
    <w:abstractNumId w:val="10"/>
  </w:num>
  <w:num w:numId="31">
    <w:abstractNumId w:val="5"/>
  </w:num>
  <w:num w:numId="3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085A"/>
    <w:rsid w:val="00002A37"/>
    <w:rsid w:val="000042F5"/>
    <w:rsid w:val="0000564C"/>
    <w:rsid w:val="00006446"/>
    <w:rsid w:val="00006896"/>
    <w:rsid w:val="00007CDC"/>
    <w:rsid w:val="000100CE"/>
    <w:rsid w:val="00011B28"/>
    <w:rsid w:val="00015D15"/>
    <w:rsid w:val="0002564D"/>
    <w:rsid w:val="00025ECA"/>
    <w:rsid w:val="0003224E"/>
    <w:rsid w:val="000325B8"/>
    <w:rsid w:val="00034C15"/>
    <w:rsid w:val="00036123"/>
    <w:rsid w:val="00036BA1"/>
    <w:rsid w:val="000422E2"/>
    <w:rsid w:val="00042F22"/>
    <w:rsid w:val="000444EF"/>
    <w:rsid w:val="00052A07"/>
    <w:rsid w:val="000534E3"/>
    <w:rsid w:val="000537FA"/>
    <w:rsid w:val="0005606A"/>
    <w:rsid w:val="00057117"/>
    <w:rsid w:val="000616E7"/>
    <w:rsid w:val="00062480"/>
    <w:rsid w:val="0006487E"/>
    <w:rsid w:val="00065E1A"/>
    <w:rsid w:val="00077E5F"/>
    <w:rsid w:val="0008036A"/>
    <w:rsid w:val="00081AE6"/>
    <w:rsid w:val="000855EB"/>
    <w:rsid w:val="00085B52"/>
    <w:rsid w:val="000866F2"/>
    <w:rsid w:val="0009009F"/>
    <w:rsid w:val="00091557"/>
    <w:rsid w:val="00091C36"/>
    <w:rsid w:val="000924C1"/>
    <w:rsid w:val="000924F0"/>
    <w:rsid w:val="00093474"/>
    <w:rsid w:val="0009510F"/>
    <w:rsid w:val="000A1B7B"/>
    <w:rsid w:val="000A56F2"/>
    <w:rsid w:val="000A6B91"/>
    <w:rsid w:val="000B1E0C"/>
    <w:rsid w:val="000B2719"/>
    <w:rsid w:val="000B3A8F"/>
    <w:rsid w:val="000B4AB9"/>
    <w:rsid w:val="000B58C3"/>
    <w:rsid w:val="000B61E9"/>
    <w:rsid w:val="000C165A"/>
    <w:rsid w:val="000C2962"/>
    <w:rsid w:val="000C2E19"/>
    <w:rsid w:val="000D0D07"/>
    <w:rsid w:val="000D4797"/>
    <w:rsid w:val="000E0527"/>
    <w:rsid w:val="000E1E92"/>
    <w:rsid w:val="000F06D6"/>
    <w:rsid w:val="000F0EB1"/>
    <w:rsid w:val="000F1106"/>
    <w:rsid w:val="000F3BE9"/>
    <w:rsid w:val="000F3F6C"/>
    <w:rsid w:val="000F6DF3"/>
    <w:rsid w:val="001005FF"/>
    <w:rsid w:val="00105219"/>
    <w:rsid w:val="001062FB"/>
    <w:rsid w:val="001063E6"/>
    <w:rsid w:val="00113CF4"/>
    <w:rsid w:val="00114E03"/>
    <w:rsid w:val="001153EA"/>
    <w:rsid w:val="00115643"/>
    <w:rsid w:val="00116765"/>
    <w:rsid w:val="00117B84"/>
    <w:rsid w:val="001219F5"/>
    <w:rsid w:val="00121A20"/>
    <w:rsid w:val="0012377F"/>
    <w:rsid w:val="00124314"/>
    <w:rsid w:val="0012537B"/>
    <w:rsid w:val="00126B4A"/>
    <w:rsid w:val="0012750F"/>
    <w:rsid w:val="00132FD0"/>
    <w:rsid w:val="001344C0"/>
    <w:rsid w:val="001346FA"/>
    <w:rsid w:val="00135252"/>
    <w:rsid w:val="00137AB5"/>
    <w:rsid w:val="00137F0B"/>
    <w:rsid w:val="001458E1"/>
    <w:rsid w:val="00151E23"/>
    <w:rsid w:val="001526E0"/>
    <w:rsid w:val="001541C1"/>
    <w:rsid w:val="001551B5"/>
    <w:rsid w:val="00156B38"/>
    <w:rsid w:val="00160400"/>
    <w:rsid w:val="001659C1"/>
    <w:rsid w:val="00171B7D"/>
    <w:rsid w:val="00171E8C"/>
    <w:rsid w:val="00173A8E"/>
    <w:rsid w:val="0017502C"/>
    <w:rsid w:val="0018143F"/>
    <w:rsid w:val="00181FF8"/>
    <w:rsid w:val="00190330"/>
    <w:rsid w:val="00190AC1"/>
    <w:rsid w:val="0019341A"/>
    <w:rsid w:val="00197DF9"/>
    <w:rsid w:val="001A1987"/>
    <w:rsid w:val="001A2564"/>
    <w:rsid w:val="001A6173"/>
    <w:rsid w:val="001A6CBA"/>
    <w:rsid w:val="001B0D97"/>
    <w:rsid w:val="001B5A5D"/>
    <w:rsid w:val="001C015B"/>
    <w:rsid w:val="001C1CE5"/>
    <w:rsid w:val="001C2C2B"/>
    <w:rsid w:val="001C3D2A"/>
    <w:rsid w:val="001D51BA"/>
    <w:rsid w:val="001D53E7"/>
    <w:rsid w:val="001D6342"/>
    <w:rsid w:val="001D6D53"/>
    <w:rsid w:val="001D7C43"/>
    <w:rsid w:val="001E58E2"/>
    <w:rsid w:val="001E7AED"/>
    <w:rsid w:val="001F3916"/>
    <w:rsid w:val="001F54C5"/>
    <w:rsid w:val="001F659E"/>
    <w:rsid w:val="001F662C"/>
    <w:rsid w:val="001F7074"/>
    <w:rsid w:val="00200490"/>
    <w:rsid w:val="00201F3A"/>
    <w:rsid w:val="00203F96"/>
    <w:rsid w:val="002069B2"/>
    <w:rsid w:val="00207FA3"/>
    <w:rsid w:val="00211205"/>
    <w:rsid w:val="00214DA8"/>
    <w:rsid w:val="00215423"/>
    <w:rsid w:val="002158FA"/>
    <w:rsid w:val="00220600"/>
    <w:rsid w:val="002224DB"/>
    <w:rsid w:val="00222F29"/>
    <w:rsid w:val="00223FCB"/>
    <w:rsid w:val="0022523E"/>
    <w:rsid w:val="002252C3"/>
    <w:rsid w:val="00225C54"/>
    <w:rsid w:val="00226D6B"/>
    <w:rsid w:val="002270E9"/>
    <w:rsid w:val="00230765"/>
    <w:rsid w:val="00230D18"/>
    <w:rsid w:val="00231435"/>
    <w:rsid w:val="002319E4"/>
    <w:rsid w:val="00232D37"/>
    <w:rsid w:val="0023379C"/>
    <w:rsid w:val="00235632"/>
    <w:rsid w:val="00235872"/>
    <w:rsid w:val="00236EF0"/>
    <w:rsid w:val="00241559"/>
    <w:rsid w:val="002435B3"/>
    <w:rsid w:val="00245775"/>
    <w:rsid w:val="002458EB"/>
    <w:rsid w:val="002500C8"/>
    <w:rsid w:val="0025111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1E"/>
    <w:rsid w:val="00283A0F"/>
    <w:rsid w:val="00284D6F"/>
    <w:rsid w:val="00284F67"/>
    <w:rsid w:val="00286ACD"/>
    <w:rsid w:val="00287838"/>
    <w:rsid w:val="002907B5"/>
    <w:rsid w:val="00292EB7"/>
    <w:rsid w:val="00295BCC"/>
    <w:rsid w:val="00295F9F"/>
    <w:rsid w:val="00296227"/>
    <w:rsid w:val="00296F44"/>
    <w:rsid w:val="0029777D"/>
    <w:rsid w:val="00297C16"/>
    <w:rsid w:val="002A055E"/>
    <w:rsid w:val="002A1D4E"/>
    <w:rsid w:val="002A2869"/>
    <w:rsid w:val="002A6894"/>
    <w:rsid w:val="002A7DCE"/>
    <w:rsid w:val="002B24D6"/>
    <w:rsid w:val="002C41E6"/>
    <w:rsid w:val="002D071A"/>
    <w:rsid w:val="002D34B2"/>
    <w:rsid w:val="002D3B5B"/>
    <w:rsid w:val="002D48B0"/>
    <w:rsid w:val="002D5B37"/>
    <w:rsid w:val="002D6C0D"/>
    <w:rsid w:val="002D7637"/>
    <w:rsid w:val="002E17F2"/>
    <w:rsid w:val="002E4B1F"/>
    <w:rsid w:val="002E6445"/>
    <w:rsid w:val="002E7CAE"/>
    <w:rsid w:val="002F2771"/>
    <w:rsid w:val="002F37A9"/>
    <w:rsid w:val="002F49E4"/>
    <w:rsid w:val="00301CE6"/>
    <w:rsid w:val="0030256B"/>
    <w:rsid w:val="0030501F"/>
    <w:rsid w:val="00306182"/>
    <w:rsid w:val="003076F8"/>
    <w:rsid w:val="00307BA1"/>
    <w:rsid w:val="00311702"/>
    <w:rsid w:val="00311E82"/>
    <w:rsid w:val="00313FD6"/>
    <w:rsid w:val="003143BD"/>
    <w:rsid w:val="00315363"/>
    <w:rsid w:val="003203ED"/>
    <w:rsid w:val="00322C9F"/>
    <w:rsid w:val="00324D23"/>
    <w:rsid w:val="00325B5E"/>
    <w:rsid w:val="00326106"/>
    <w:rsid w:val="00331751"/>
    <w:rsid w:val="00334579"/>
    <w:rsid w:val="00335858"/>
    <w:rsid w:val="00336BDA"/>
    <w:rsid w:val="00342BD7"/>
    <w:rsid w:val="00346DB5"/>
    <w:rsid w:val="003477B1"/>
    <w:rsid w:val="00352795"/>
    <w:rsid w:val="00352A07"/>
    <w:rsid w:val="00357380"/>
    <w:rsid w:val="003602D9"/>
    <w:rsid w:val="003604CE"/>
    <w:rsid w:val="0036211F"/>
    <w:rsid w:val="00367C42"/>
    <w:rsid w:val="00370E47"/>
    <w:rsid w:val="003742AC"/>
    <w:rsid w:val="00377CE1"/>
    <w:rsid w:val="00383CA7"/>
    <w:rsid w:val="00385BF0"/>
    <w:rsid w:val="00387619"/>
    <w:rsid w:val="0039371A"/>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669"/>
    <w:rsid w:val="003C2702"/>
    <w:rsid w:val="003C2A75"/>
    <w:rsid w:val="003C7806"/>
    <w:rsid w:val="003D06F3"/>
    <w:rsid w:val="003D109F"/>
    <w:rsid w:val="003D2478"/>
    <w:rsid w:val="003D35AA"/>
    <w:rsid w:val="003D3C45"/>
    <w:rsid w:val="003D5B1F"/>
    <w:rsid w:val="003E15FA"/>
    <w:rsid w:val="003E55E4"/>
    <w:rsid w:val="003E74E3"/>
    <w:rsid w:val="003F05C7"/>
    <w:rsid w:val="003F2CD4"/>
    <w:rsid w:val="003F6BBE"/>
    <w:rsid w:val="004000E8"/>
    <w:rsid w:val="00402E2B"/>
    <w:rsid w:val="0040512B"/>
    <w:rsid w:val="00405CA5"/>
    <w:rsid w:val="00406534"/>
    <w:rsid w:val="00407AC1"/>
    <w:rsid w:val="00407CD3"/>
    <w:rsid w:val="00410134"/>
    <w:rsid w:val="00410B72"/>
    <w:rsid w:val="00410F18"/>
    <w:rsid w:val="0041263E"/>
    <w:rsid w:val="00413AAC"/>
    <w:rsid w:val="00413E92"/>
    <w:rsid w:val="004160D2"/>
    <w:rsid w:val="00421105"/>
    <w:rsid w:val="00422AA4"/>
    <w:rsid w:val="004242F4"/>
    <w:rsid w:val="0042455D"/>
    <w:rsid w:val="00427248"/>
    <w:rsid w:val="00432F04"/>
    <w:rsid w:val="00437447"/>
    <w:rsid w:val="00437864"/>
    <w:rsid w:val="00441A92"/>
    <w:rsid w:val="004431DC"/>
    <w:rsid w:val="004439F6"/>
    <w:rsid w:val="00444F56"/>
    <w:rsid w:val="00446488"/>
    <w:rsid w:val="004517AA"/>
    <w:rsid w:val="00452CAC"/>
    <w:rsid w:val="00453A71"/>
    <w:rsid w:val="00456301"/>
    <w:rsid w:val="00457565"/>
    <w:rsid w:val="00457B71"/>
    <w:rsid w:val="00463125"/>
    <w:rsid w:val="004669E2"/>
    <w:rsid w:val="00470C31"/>
    <w:rsid w:val="00471DE0"/>
    <w:rsid w:val="004734D0"/>
    <w:rsid w:val="0047556B"/>
    <w:rsid w:val="00477768"/>
    <w:rsid w:val="00492BC5"/>
    <w:rsid w:val="004939C7"/>
    <w:rsid w:val="004964F1"/>
    <w:rsid w:val="0049656B"/>
    <w:rsid w:val="004A056B"/>
    <w:rsid w:val="004A16BC"/>
    <w:rsid w:val="004A2B94"/>
    <w:rsid w:val="004A3B7A"/>
    <w:rsid w:val="004A5ADC"/>
    <w:rsid w:val="004B1019"/>
    <w:rsid w:val="004B2B52"/>
    <w:rsid w:val="004B6F6A"/>
    <w:rsid w:val="004B7C0C"/>
    <w:rsid w:val="004C3898"/>
    <w:rsid w:val="004D1DD8"/>
    <w:rsid w:val="004D36B1"/>
    <w:rsid w:val="004D7EBD"/>
    <w:rsid w:val="004E2680"/>
    <w:rsid w:val="004E28F9"/>
    <w:rsid w:val="004E462E"/>
    <w:rsid w:val="004E56DC"/>
    <w:rsid w:val="004E5AF9"/>
    <w:rsid w:val="004E76F4"/>
    <w:rsid w:val="004F0B4E"/>
    <w:rsid w:val="004F0B6C"/>
    <w:rsid w:val="004F2078"/>
    <w:rsid w:val="004F48A0"/>
    <w:rsid w:val="004F4DA3"/>
    <w:rsid w:val="00506557"/>
    <w:rsid w:val="0050677A"/>
    <w:rsid w:val="00507867"/>
    <w:rsid w:val="005108D8"/>
    <w:rsid w:val="005116F9"/>
    <w:rsid w:val="005153A7"/>
    <w:rsid w:val="005208B2"/>
    <w:rsid w:val="005219CF"/>
    <w:rsid w:val="00524C4D"/>
    <w:rsid w:val="00534B59"/>
    <w:rsid w:val="00536759"/>
    <w:rsid w:val="00537C62"/>
    <w:rsid w:val="00546970"/>
    <w:rsid w:val="00554E19"/>
    <w:rsid w:val="0056121F"/>
    <w:rsid w:val="00565988"/>
    <w:rsid w:val="00572505"/>
    <w:rsid w:val="00582809"/>
    <w:rsid w:val="00584C5F"/>
    <w:rsid w:val="00586B15"/>
    <w:rsid w:val="0058798C"/>
    <w:rsid w:val="005900FA"/>
    <w:rsid w:val="005935A4"/>
    <w:rsid w:val="005948C2"/>
    <w:rsid w:val="00595DCA"/>
    <w:rsid w:val="0059779B"/>
    <w:rsid w:val="005A209A"/>
    <w:rsid w:val="005A662D"/>
    <w:rsid w:val="005A6DD3"/>
    <w:rsid w:val="005B1409"/>
    <w:rsid w:val="005B35D7"/>
    <w:rsid w:val="005B392A"/>
    <w:rsid w:val="005B3AA3"/>
    <w:rsid w:val="005B6F83"/>
    <w:rsid w:val="005C74E7"/>
    <w:rsid w:val="005C74FB"/>
    <w:rsid w:val="005D025F"/>
    <w:rsid w:val="005D1602"/>
    <w:rsid w:val="005D6B73"/>
    <w:rsid w:val="005E0758"/>
    <w:rsid w:val="005E2C9B"/>
    <w:rsid w:val="005E385F"/>
    <w:rsid w:val="005E5B81"/>
    <w:rsid w:val="005E5C4E"/>
    <w:rsid w:val="005F2CB1"/>
    <w:rsid w:val="005F3025"/>
    <w:rsid w:val="005F618C"/>
    <w:rsid w:val="005F70BD"/>
    <w:rsid w:val="00600B31"/>
    <w:rsid w:val="0060283C"/>
    <w:rsid w:val="00604F14"/>
    <w:rsid w:val="00611B83"/>
    <w:rsid w:val="0061212A"/>
    <w:rsid w:val="006129F5"/>
    <w:rsid w:val="00613257"/>
    <w:rsid w:val="00620A71"/>
    <w:rsid w:val="00620D80"/>
    <w:rsid w:val="006234A6"/>
    <w:rsid w:val="006272AD"/>
    <w:rsid w:val="00630001"/>
    <w:rsid w:val="006311B3"/>
    <w:rsid w:val="006311CB"/>
    <w:rsid w:val="0063284C"/>
    <w:rsid w:val="00634D42"/>
    <w:rsid w:val="00636398"/>
    <w:rsid w:val="006368D3"/>
    <w:rsid w:val="006377EC"/>
    <w:rsid w:val="00640B53"/>
    <w:rsid w:val="0064151F"/>
    <w:rsid w:val="00641533"/>
    <w:rsid w:val="0064208D"/>
    <w:rsid w:val="00642754"/>
    <w:rsid w:val="00643475"/>
    <w:rsid w:val="0064396A"/>
    <w:rsid w:val="0064410C"/>
    <w:rsid w:val="00644D03"/>
    <w:rsid w:val="0064624E"/>
    <w:rsid w:val="006505C5"/>
    <w:rsid w:val="00650AB9"/>
    <w:rsid w:val="00655733"/>
    <w:rsid w:val="00655ACD"/>
    <w:rsid w:val="00656A92"/>
    <w:rsid w:val="00656DDE"/>
    <w:rsid w:val="0066011D"/>
    <w:rsid w:val="006607C0"/>
    <w:rsid w:val="006613A6"/>
    <w:rsid w:val="006626D2"/>
    <w:rsid w:val="006627A2"/>
    <w:rsid w:val="006634E6"/>
    <w:rsid w:val="006655EE"/>
    <w:rsid w:val="00667EE7"/>
    <w:rsid w:val="00670922"/>
    <w:rsid w:val="00670BE1"/>
    <w:rsid w:val="0067218F"/>
    <w:rsid w:val="00673CB9"/>
    <w:rsid w:val="006741F2"/>
    <w:rsid w:val="00674CC3"/>
    <w:rsid w:val="00675C72"/>
    <w:rsid w:val="00676D92"/>
    <w:rsid w:val="006771F9"/>
    <w:rsid w:val="006776D7"/>
    <w:rsid w:val="00681003"/>
    <w:rsid w:val="006817C9"/>
    <w:rsid w:val="006837E3"/>
    <w:rsid w:val="00683ECE"/>
    <w:rsid w:val="00685FBF"/>
    <w:rsid w:val="00692A8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0BC7"/>
    <w:rsid w:val="00712287"/>
    <w:rsid w:val="00712772"/>
    <w:rsid w:val="007133F0"/>
    <w:rsid w:val="007148D3"/>
    <w:rsid w:val="00715B9A"/>
    <w:rsid w:val="00716390"/>
    <w:rsid w:val="00720580"/>
    <w:rsid w:val="007257D0"/>
    <w:rsid w:val="00726EA6"/>
    <w:rsid w:val="00727208"/>
    <w:rsid w:val="00727680"/>
    <w:rsid w:val="00730572"/>
    <w:rsid w:val="0073067B"/>
    <w:rsid w:val="007307B9"/>
    <w:rsid w:val="00732015"/>
    <w:rsid w:val="007348B1"/>
    <w:rsid w:val="007362A6"/>
    <w:rsid w:val="00736D7D"/>
    <w:rsid w:val="00737D25"/>
    <w:rsid w:val="00740E58"/>
    <w:rsid w:val="007445A0"/>
    <w:rsid w:val="0074524B"/>
    <w:rsid w:val="007475FB"/>
    <w:rsid w:val="00747D8B"/>
    <w:rsid w:val="007503A4"/>
    <w:rsid w:val="00751228"/>
    <w:rsid w:val="0075172F"/>
    <w:rsid w:val="007571E1"/>
    <w:rsid w:val="00757A16"/>
    <w:rsid w:val="007604B2"/>
    <w:rsid w:val="00762AFA"/>
    <w:rsid w:val="00765281"/>
    <w:rsid w:val="00766BAD"/>
    <w:rsid w:val="007729A2"/>
    <w:rsid w:val="00773FF3"/>
    <w:rsid w:val="007755F2"/>
    <w:rsid w:val="00775F56"/>
    <w:rsid w:val="00776971"/>
    <w:rsid w:val="00780A80"/>
    <w:rsid w:val="0078177E"/>
    <w:rsid w:val="00781C2A"/>
    <w:rsid w:val="0078304C"/>
    <w:rsid w:val="00783673"/>
    <w:rsid w:val="00785490"/>
    <w:rsid w:val="007901AA"/>
    <w:rsid w:val="00791415"/>
    <w:rsid w:val="0079217A"/>
    <w:rsid w:val="007925EA"/>
    <w:rsid w:val="00793CD8"/>
    <w:rsid w:val="00795C92"/>
    <w:rsid w:val="00796231"/>
    <w:rsid w:val="007A1CB3"/>
    <w:rsid w:val="007A306F"/>
    <w:rsid w:val="007A43A6"/>
    <w:rsid w:val="007A58A6"/>
    <w:rsid w:val="007B3D2D"/>
    <w:rsid w:val="007B50AE"/>
    <w:rsid w:val="007B51DF"/>
    <w:rsid w:val="007B7C66"/>
    <w:rsid w:val="007C05DD"/>
    <w:rsid w:val="007C3D18"/>
    <w:rsid w:val="007C60BF"/>
    <w:rsid w:val="007C6A07"/>
    <w:rsid w:val="007C75A1"/>
    <w:rsid w:val="007C77A5"/>
    <w:rsid w:val="007D04E5"/>
    <w:rsid w:val="007D5901"/>
    <w:rsid w:val="007D7526"/>
    <w:rsid w:val="007E4610"/>
    <w:rsid w:val="007E4715"/>
    <w:rsid w:val="007E505B"/>
    <w:rsid w:val="007E7091"/>
    <w:rsid w:val="007F013D"/>
    <w:rsid w:val="007F508A"/>
    <w:rsid w:val="00800CF8"/>
    <w:rsid w:val="00803FAE"/>
    <w:rsid w:val="0080605F"/>
    <w:rsid w:val="00807786"/>
    <w:rsid w:val="0081160E"/>
    <w:rsid w:val="00811FCB"/>
    <w:rsid w:val="00813976"/>
    <w:rsid w:val="008158D6"/>
    <w:rsid w:val="00817196"/>
    <w:rsid w:val="008235DB"/>
    <w:rsid w:val="00824AB4"/>
    <w:rsid w:val="00825C42"/>
    <w:rsid w:val="00825D25"/>
    <w:rsid w:val="00827D6F"/>
    <w:rsid w:val="0083753B"/>
    <w:rsid w:val="008376AC"/>
    <w:rsid w:val="00842A37"/>
    <w:rsid w:val="00843A55"/>
    <w:rsid w:val="008444E8"/>
    <w:rsid w:val="00844E80"/>
    <w:rsid w:val="00846FE7"/>
    <w:rsid w:val="0084792A"/>
    <w:rsid w:val="00856911"/>
    <w:rsid w:val="00862D98"/>
    <w:rsid w:val="00863969"/>
    <w:rsid w:val="008677FD"/>
    <w:rsid w:val="008706D4"/>
    <w:rsid w:val="00870F8A"/>
    <w:rsid w:val="008719A4"/>
    <w:rsid w:val="00871D23"/>
    <w:rsid w:val="00874312"/>
    <w:rsid w:val="0087437C"/>
    <w:rsid w:val="00875CD7"/>
    <w:rsid w:val="00876B4D"/>
    <w:rsid w:val="00877F18"/>
    <w:rsid w:val="00890C95"/>
    <w:rsid w:val="00891A1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543F"/>
    <w:rsid w:val="008C6AE8"/>
    <w:rsid w:val="008C7573"/>
    <w:rsid w:val="008D00A5"/>
    <w:rsid w:val="008D34F1"/>
    <w:rsid w:val="008D39D8"/>
    <w:rsid w:val="008D6D1A"/>
    <w:rsid w:val="008E05B3"/>
    <w:rsid w:val="008E065E"/>
    <w:rsid w:val="008E0927"/>
    <w:rsid w:val="008E1909"/>
    <w:rsid w:val="008E393E"/>
    <w:rsid w:val="008F1EAB"/>
    <w:rsid w:val="008F33DC"/>
    <w:rsid w:val="008F477F"/>
    <w:rsid w:val="00902350"/>
    <w:rsid w:val="0090336B"/>
    <w:rsid w:val="00904231"/>
    <w:rsid w:val="009053AA"/>
    <w:rsid w:val="00906939"/>
    <w:rsid w:val="00910B7D"/>
    <w:rsid w:val="00911DFB"/>
    <w:rsid w:val="009139D9"/>
    <w:rsid w:val="00914251"/>
    <w:rsid w:val="00914AD8"/>
    <w:rsid w:val="00916079"/>
    <w:rsid w:val="00917CE9"/>
    <w:rsid w:val="00920BF2"/>
    <w:rsid w:val="00922010"/>
    <w:rsid w:val="009253F6"/>
    <w:rsid w:val="00931BD9"/>
    <w:rsid w:val="00931E37"/>
    <w:rsid w:val="00932765"/>
    <w:rsid w:val="009329CD"/>
    <w:rsid w:val="00934EBB"/>
    <w:rsid w:val="009368F3"/>
    <w:rsid w:val="00936CE9"/>
    <w:rsid w:val="0093716F"/>
    <w:rsid w:val="00941636"/>
    <w:rsid w:val="00943742"/>
    <w:rsid w:val="00945C05"/>
    <w:rsid w:val="00946945"/>
    <w:rsid w:val="00947713"/>
    <w:rsid w:val="00950DE7"/>
    <w:rsid w:val="0095319F"/>
    <w:rsid w:val="00953920"/>
    <w:rsid w:val="00953D47"/>
    <w:rsid w:val="0095681E"/>
    <w:rsid w:val="009572D4"/>
    <w:rsid w:val="00961921"/>
    <w:rsid w:val="0096430A"/>
    <w:rsid w:val="0096554B"/>
    <w:rsid w:val="0096584A"/>
    <w:rsid w:val="009712AE"/>
    <w:rsid w:val="00971F08"/>
    <w:rsid w:val="0097603D"/>
    <w:rsid w:val="00976949"/>
    <w:rsid w:val="00980477"/>
    <w:rsid w:val="00985253"/>
    <w:rsid w:val="009853B3"/>
    <w:rsid w:val="00986192"/>
    <w:rsid w:val="00987E5B"/>
    <w:rsid w:val="00990630"/>
    <w:rsid w:val="00991761"/>
    <w:rsid w:val="00994DCA"/>
    <w:rsid w:val="009960EC"/>
    <w:rsid w:val="009970DD"/>
    <w:rsid w:val="009A0FBA"/>
    <w:rsid w:val="009A1601"/>
    <w:rsid w:val="009A19A2"/>
    <w:rsid w:val="009A3BB6"/>
    <w:rsid w:val="009A462D"/>
    <w:rsid w:val="009A4B54"/>
    <w:rsid w:val="009A5CBA"/>
    <w:rsid w:val="009B0EB1"/>
    <w:rsid w:val="009B1F30"/>
    <w:rsid w:val="009B3AC2"/>
    <w:rsid w:val="009B4D14"/>
    <w:rsid w:val="009B4DF4"/>
    <w:rsid w:val="009B564E"/>
    <w:rsid w:val="009B7E87"/>
    <w:rsid w:val="009C0169"/>
    <w:rsid w:val="009C403E"/>
    <w:rsid w:val="009C62D6"/>
    <w:rsid w:val="009C703D"/>
    <w:rsid w:val="009D4FF0"/>
    <w:rsid w:val="009D5C01"/>
    <w:rsid w:val="009D703C"/>
    <w:rsid w:val="009D718F"/>
    <w:rsid w:val="009E068F"/>
    <w:rsid w:val="009E14E0"/>
    <w:rsid w:val="009E35DB"/>
    <w:rsid w:val="009E47A3"/>
    <w:rsid w:val="009F08F3"/>
    <w:rsid w:val="009F344F"/>
    <w:rsid w:val="009F7D03"/>
    <w:rsid w:val="00A031D8"/>
    <w:rsid w:val="00A048A8"/>
    <w:rsid w:val="00A04F49"/>
    <w:rsid w:val="00A05C57"/>
    <w:rsid w:val="00A13E54"/>
    <w:rsid w:val="00A1712A"/>
    <w:rsid w:val="00A17F63"/>
    <w:rsid w:val="00A2193B"/>
    <w:rsid w:val="00A2351A"/>
    <w:rsid w:val="00A264A9"/>
    <w:rsid w:val="00A26DCF"/>
    <w:rsid w:val="00A27785"/>
    <w:rsid w:val="00A30187"/>
    <w:rsid w:val="00A32CB1"/>
    <w:rsid w:val="00A3448A"/>
    <w:rsid w:val="00A36297"/>
    <w:rsid w:val="00A362F2"/>
    <w:rsid w:val="00A41E2B"/>
    <w:rsid w:val="00A45B74"/>
    <w:rsid w:val="00A52E1D"/>
    <w:rsid w:val="00A53847"/>
    <w:rsid w:val="00A61499"/>
    <w:rsid w:val="00A62A77"/>
    <w:rsid w:val="00A63483"/>
    <w:rsid w:val="00A657D7"/>
    <w:rsid w:val="00A660AC"/>
    <w:rsid w:val="00A67E6C"/>
    <w:rsid w:val="00A71B99"/>
    <w:rsid w:val="00A739D0"/>
    <w:rsid w:val="00A761D4"/>
    <w:rsid w:val="00A77EC4"/>
    <w:rsid w:val="00A842E1"/>
    <w:rsid w:val="00A92879"/>
    <w:rsid w:val="00A9442A"/>
    <w:rsid w:val="00A95EEA"/>
    <w:rsid w:val="00AA016F"/>
    <w:rsid w:val="00AA1C0C"/>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2EC"/>
    <w:rsid w:val="00AE27AC"/>
    <w:rsid w:val="00AE40E0"/>
    <w:rsid w:val="00AE4DBA"/>
    <w:rsid w:val="00AE4F07"/>
    <w:rsid w:val="00AF1C5D"/>
    <w:rsid w:val="00AF42D7"/>
    <w:rsid w:val="00B006FE"/>
    <w:rsid w:val="00B007CB"/>
    <w:rsid w:val="00B02AA9"/>
    <w:rsid w:val="00B02FA3"/>
    <w:rsid w:val="00B05084"/>
    <w:rsid w:val="00B06739"/>
    <w:rsid w:val="00B14AEB"/>
    <w:rsid w:val="00B157F9"/>
    <w:rsid w:val="00B20256"/>
    <w:rsid w:val="00B20D09"/>
    <w:rsid w:val="00B2298F"/>
    <w:rsid w:val="00B2763F"/>
    <w:rsid w:val="00B27690"/>
    <w:rsid w:val="00B27AAC"/>
    <w:rsid w:val="00B30929"/>
    <w:rsid w:val="00B372AA"/>
    <w:rsid w:val="00B40445"/>
    <w:rsid w:val="00B409E0"/>
    <w:rsid w:val="00B41888"/>
    <w:rsid w:val="00B451AF"/>
    <w:rsid w:val="00B45A52"/>
    <w:rsid w:val="00B46175"/>
    <w:rsid w:val="00B46E8F"/>
    <w:rsid w:val="00B548B7"/>
    <w:rsid w:val="00B664C7"/>
    <w:rsid w:val="00B70209"/>
    <w:rsid w:val="00B739F6"/>
    <w:rsid w:val="00B81A6C"/>
    <w:rsid w:val="00B82725"/>
    <w:rsid w:val="00B85DE5"/>
    <w:rsid w:val="00B90F73"/>
    <w:rsid w:val="00B91894"/>
    <w:rsid w:val="00B93B59"/>
    <w:rsid w:val="00B9406A"/>
    <w:rsid w:val="00B94E76"/>
    <w:rsid w:val="00BA2280"/>
    <w:rsid w:val="00BA2A08"/>
    <w:rsid w:val="00BA56D2"/>
    <w:rsid w:val="00BA76E0"/>
    <w:rsid w:val="00BB2A25"/>
    <w:rsid w:val="00BB51E9"/>
    <w:rsid w:val="00BC0FDC"/>
    <w:rsid w:val="00BC12C1"/>
    <w:rsid w:val="00BC3053"/>
    <w:rsid w:val="00BC4D2E"/>
    <w:rsid w:val="00BC6A4F"/>
    <w:rsid w:val="00BD48AC"/>
    <w:rsid w:val="00BD5F1A"/>
    <w:rsid w:val="00BE1234"/>
    <w:rsid w:val="00BE2FA6"/>
    <w:rsid w:val="00BE333F"/>
    <w:rsid w:val="00BE3494"/>
    <w:rsid w:val="00BE3A4F"/>
    <w:rsid w:val="00BE7406"/>
    <w:rsid w:val="00BE7603"/>
    <w:rsid w:val="00BF00E1"/>
    <w:rsid w:val="00BF2855"/>
    <w:rsid w:val="00BF3279"/>
    <w:rsid w:val="00BF74C7"/>
    <w:rsid w:val="00C015F1"/>
    <w:rsid w:val="00C01F33"/>
    <w:rsid w:val="00C02CC6"/>
    <w:rsid w:val="00C040F7"/>
    <w:rsid w:val="00C044AB"/>
    <w:rsid w:val="00C05706"/>
    <w:rsid w:val="00C07377"/>
    <w:rsid w:val="00C10478"/>
    <w:rsid w:val="00C12107"/>
    <w:rsid w:val="00C132AB"/>
    <w:rsid w:val="00C14D4B"/>
    <w:rsid w:val="00C154BB"/>
    <w:rsid w:val="00C268E6"/>
    <w:rsid w:val="00C279B5"/>
    <w:rsid w:val="00C27C45"/>
    <w:rsid w:val="00C3719D"/>
    <w:rsid w:val="00C37CB2"/>
    <w:rsid w:val="00C473A5"/>
    <w:rsid w:val="00C50700"/>
    <w:rsid w:val="00C52AFC"/>
    <w:rsid w:val="00C54995"/>
    <w:rsid w:val="00C54D41"/>
    <w:rsid w:val="00C60783"/>
    <w:rsid w:val="00C64672"/>
    <w:rsid w:val="00C70697"/>
    <w:rsid w:val="00C72093"/>
    <w:rsid w:val="00C72EF4"/>
    <w:rsid w:val="00C744FE"/>
    <w:rsid w:val="00C75D2F"/>
    <w:rsid w:val="00C767BE"/>
    <w:rsid w:val="00C76E3C"/>
    <w:rsid w:val="00C77FDC"/>
    <w:rsid w:val="00C81568"/>
    <w:rsid w:val="00C9027A"/>
    <w:rsid w:val="00C9068E"/>
    <w:rsid w:val="00C93814"/>
    <w:rsid w:val="00C93C4B"/>
    <w:rsid w:val="00C944AB"/>
    <w:rsid w:val="00C94D2F"/>
    <w:rsid w:val="00C95993"/>
    <w:rsid w:val="00C95B40"/>
    <w:rsid w:val="00CA1ED8"/>
    <w:rsid w:val="00CA5D4C"/>
    <w:rsid w:val="00CA6C55"/>
    <w:rsid w:val="00CB0978"/>
    <w:rsid w:val="00CB1F63"/>
    <w:rsid w:val="00CB44CE"/>
    <w:rsid w:val="00CB7170"/>
    <w:rsid w:val="00CC040E"/>
    <w:rsid w:val="00CC111F"/>
    <w:rsid w:val="00CC1E76"/>
    <w:rsid w:val="00CC2011"/>
    <w:rsid w:val="00CC35E5"/>
    <w:rsid w:val="00CC3DEA"/>
    <w:rsid w:val="00CC3EA0"/>
    <w:rsid w:val="00CC7B45"/>
    <w:rsid w:val="00CD1188"/>
    <w:rsid w:val="00CD15B2"/>
    <w:rsid w:val="00CD2ED1"/>
    <w:rsid w:val="00CD337B"/>
    <w:rsid w:val="00CE0424"/>
    <w:rsid w:val="00CE7561"/>
    <w:rsid w:val="00CE7634"/>
    <w:rsid w:val="00CF1354"/>
    <w:rsid w:val="00CF3875"/>
    <w:rsid w:val="00CF3B1F"/>
    <w:rsid w:val="00CF3BF6"/>
    <w:rsid w:val="00CF625B"/>
    <w:rsid w:val="00CF687E"/>
    <w:rsid w:val="00CF7569"/>
    <w:rsid w:val="00D0349B"/>
    <w:rsid w:val="00D10249"/>
    <w:rsid w:val="00D115C3"/>
    <w:rsid w:val="00D11897"/>
    <w:rsid w:val="00D13135"/>
    <w:rsid w:val="00D13E4E"/>
    <w:rsid w:val="00D239A7"/>
    <w:rsid w:val="00D23F47"/>
    <w:rsid w:val="00D25EB6"/>
    <w:rsid w:val="00D36E71"/>
    <w:rsid w:val="00D37D87"/>
    <w:rsid w:val="00D40B33"/>
    <w:rsid w:val="00D418B8"/>
    <w:rsid w:val="00D4318F"/>
    <w:rsid w:val="00D438BF"/>
    <w:rsid w:val="00D440F8"/>
    <w:rsid w:val="00D546FF"/>
    <w:rsid w:val="00D55AD5"/>
    <w:rsid w:val="00D57023"/>
    <w:rsid w:val="00D576CA"/>
    <w:rsid w:val="00D61AF5"/>
    <w:rsid w:val="00D643F7"/>
    <w:rsid w:val="00D652B5"/>
    <w:rsid w:val="00D66155"/>
    <w:rsid w:val="00D706CF"/>
    <w:rsid w:val="00D708B0"/>
    <w:rsid w:val="00D747C1"/>
    <w:rsid w:val="00D77B1D"/>
    <w:rsid w:val="00D8021F"/>
    <w:rsid w:val="00D80383"/>
    <w:rsid w:val="00D823C6"/>
    <w:rsid w:val="00D8327F"/>
    <w:rsid w:val="00D86CA3"/>
    <w:rsid w:val="00D871CE"/>
    <w:rsid w:val="00D9196D"/>
    <w:rsid w:val="00D92982"/>
    <w:rsid w:val="00DA305E"/>
    <w:rsid w:val="00DA5417"/>
    <w:rsid w:val="00DA56E8"/>
    <w:rsid w:val="00DA7244"/>
    <w:rsid w:val="00DB0A9F"/>
    <w:rsid w:val="00DB3043"/>
    <w:rsid w:val="00DB377D"/>
    <w:rsid w:val="00DC2D36"/>
    <w:rsid w:val="00DC53EF"/>
    <w:rsid w:val="00DD19CB"/>
    <w:rsid w:val="00DD79D3"/>
    <w:rsid w:val="00DE1A16"/>
    <w:rsid w:val="00DE5608"/>
    <w:rsid w:val="00DE58D0"/>
    <w:rsid w:val="00DE654F"/>
    <w:rsid w:val="00DF0B6E"/>
    <w:rsid w:val="00DF15E0"/>
    <w:rsid w:val="00DF1A7A"/>
    <w:rsid w:val="00DF37A0"/>
    <w:rsid w:val="00DF65BA"/>
    <w:rsid w:val="00E110E7"/>
    <w:rsid w:val="00E11B20"/>
    <w:rsid w:val="00E12761"/>
    <w:rsid w:val="00E17FA2"/>
    <w:rsid w:val="00E22330"/>
    <w:rsid w:val="00E239E8"/>
    <w:rsid w:val="00E30B5A"/>
    <w:rsid w:val="00E3123D"/>
    <w:rsid w:val="00E31461"/>
    <w:rsid w:val="00E31D43"/>
    <w:rsid w:val="00E32608"/>
    <w:rsid w:val="00E34188"/>
    <w:rsid w:val="00E34B0F"/>
    <w:rsid w:val="00E34B6E"/>
    <w:rsid w:val="00E35559"/>
    <w:rsid w:val="00E36B10"/>
    <w:rsid w:val="00E3723A"/>
    <w:rsid w:val="00E37860"/>
    <w:rsid w:val="00E446F1"/>
    <w:rsid w:val="00E46886"/>
    <w:rsid w:val="00E47AEF"/>
    <w:rsid w:val="00E53B75"/>
    <w:rsid w:val="00E54E3B"/>
    <w:rsid w:val="00E57565"/>
    <w:rsid w:val="00E63838"/>
    <w:rsid w:val="00E64434"/>
    <w:rsid w:val="00E67C51"/>
    <w:rsid w:val="00E72EFC"/>
    <w:rsid w:val="00E74022"/>
    <w:rsid w:val="00E758EC"/>
    <w:rsid w:val="00E8234C"/>
    <w:rsid w:val="00E83AA9"/>
    <w:rsid w:val="00E85928"/>
    <w:rsid w:val="00E86C50"/>
    <w:rsid w:val="00E87822"/>
    <w:rsid w:val="00E90395"/>
    <w:rsid w:val="00E90E49"/>
    <w:rsid w:val="00E917F9"/>
    <w:rsid w:val="00E9291C"/>
    <w:rsid w:val="00E93FFE"/>
    <w:rsid w:val="00E94F8A"/>
    <w:rsid w:val="00EA5ECE"/>
    <w:rsid w:val="00EA7A41"/>
    <w:rsid w:val="00EB077B"/>
    <w:rsid w:val="00EB088D"/>
    <w:rsid w:val="00EB45D8"/>
    <w:rsid w:val="00EB4EA2"/>
    <w:rsid w:val="00EC0F4B"/>
    <w:rsid w:val="00EC24D5"/>
    <w:rsid w:val="00EC27C6"/>
    <w:rsid w:val="00EC4207"/>
    <w:rsid w:val="00EC5653"/>
    <w:rsid w:val="00EC71CE"/>
    <w:rsid w:val="00ED0D7C"/>
    <w:rsid w:val="00ED1006"/>
    <w:rsid w:val="00ED69AA"/>
    <w:rsid w:val="00EE0EA2"/>
    <w:rsid w:val="00EE6B8A"/>
    <w:rsid w:val="00EF18FE"/>
    <w:rsid w:val="00EF5787"/>
    <w:rsid w:val="00EF60D0"/>
    <w:rsid w:val="00F00490"/>
    <w:rsid w:val="00F05142"/>
    <w:rsid w:val="00F0528D"/>
    <w:rsid w:val="00F06C67"/>
    <w:rsid w:val="00F06DFD"/>
    <w:rsid w:val="00F071D1"/>
    <w:rsid w:val="00F07533"/>
    <w:rsid w:val="00F077FC"/>
    <w:rsid w:val="00F10629"/>
    <w:rsid w:val="00F15FA5"/>
    <w:rsid w:val="00F16990"/>
    <w:rsid w:val="00F209B7"/>
    <w:rsid w:val="00F20F5C"/>
    <w:rsid w:val="00F2376F"/>
    <w:rsid w:val="00F243D8"/>
    <w:rsid w:val="00F30828"/>
    <w:rsid w:val="00F313D6"/>
    <w:rsid w:val="00F3221B"/>
    <w:rsid w:val="00F370BB"/>
    <w:rsid w:val="00F40F0C"/>
    <w:rsid w:val="00F419A9"/>
    <w:rsid w:val="00F4766C"/>
    <w:rsid w:val="00F5060E"/>
    <w:rsid w:val="00F507D1"/>
    <w:rsid w:val="00F519CE"/>
    <w:rsid w:val="00F51ADA"/>
    <w:rsid w:val="00F60203"/>
    <w:rsid w:val="00F607C5"/>
    <w:rsid w:val="00F60DEA"/>
    <w:rsid w:val="00F6302A"/>
    <w:rsid w:val="00F63950"/>
    <w:rsid w:val="00F64C2B"/>
    <w:rsid w:val="00F651BE"/>
    <w:rsid w:val="00F65712"/>
    <w:rsid w:val="00F67F53"/>
    <w:rsid w:val="00F703BE"/>
    <w:rsid w:val="00F70BCA"/>
    <w:rsid w:val="00F71670"/>
    <w:rsid w:val="00F71F69"/>
    <w:rsid w:val="00F72B72"/>
    <w:rsid w:val="00F737AA"/>
    <w:rsid w:val="00F73C7D"/>
    <w:rsid w:val="00F74BB9"/>
    <w:rsid w:val="00F74FB6"/>
    <w:rsid w:val="00F75582"/>
    <w:rsid w:val="00F76EFA"/>
    <w:rsid w:val="00F804BE"/>
    <w:rsid w:val="00F817CE"/>
    <w:rsid w:val="00F8456C"/>
    <w:rsid w:val="00F859D8"/>
    <w:rsid w:val="00F868F5"/>
    <w:rsid w:val="00F9056A"/>
    <w:rsid w:val="00F90F8D"/>
    <w:rsid w:val="00F92782"/>
    <w:rsid w:val="00F93AA9"/>
    <w:rsid w:val="00F959F9"/>
    <w:rsid w:val="00F96985"/>
    <w:rsid w:val="00F97838"/>
    <w:rsid w:val="00FA1554"/>
    <w:rsid w:val="00FA249B"/>
    <w:rsid w:val="00FA2BB3"/>
    <w:rsid w:val="00FA449F"/>
    <w:rsid w:val="00FB2393"/>
    <w:rsid w:val="00FB4C80"/>
    <w:rsid w:val="00FB6A6A"/>
    <w:rsid w:val="00FC6B7E"/>
    <w:rsid w:val="00FC7429"/>
    <w:rsid w:val="00FC74C8"/>
    <w:rsid w:val="00FD07F6"/>
    <w:rsid w:val="00FD1EC8"/>
    <w:rsid w:val="00FD47ED"/>
    <w:rsid w:val="00FD74DB"/>
    <w:rsid w:val="00FD7660"/>
    <w:rsid w:val="00FE0655"/>
    <w:rsid w:val="00FE067D"/>
    <w:rsid w:val="00FE2365"/>
    <w:rsid w:val="00FE37D7"/>
    <w:rsid w:val="00FE4C7B"/>
    <w:rsid w:val="00FE7336"/>
    <w:rsid w:val="00FE787C"/>
    <w:rsid w:val="00FF05FC"/>
    <w:rsid w:val="00FF2C0D"/>
    <w:rsid w:val="00FF45A5"/>
    <w:rsid w:val="00FF5247"/>
    <w:rsid w:val="00FF5C91"/>
    <w:rsid w:val="00FF67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0E776F6D-96AB-42E4-8882-615BCFC4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7-e/Docs//R2-220586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7-e/Docs//R2-220586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B91CE15-E224-4BC2-BD35-9D29F3070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305</TotalTime>
  <Pages>4</Pages>
  <Words>1247</Words>
  <Characters>7012</Characters>
  <Application>Microsoft Office Word</Application>
  <DocSecurity>0</DocSecurity>
  <Lines>171</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8166</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36</cp:revision>
  <cp:lastPrinted>2008-01-31T07:09:00Z</cp:lastPrinted>
  <dcterms:created xsi:type="dcterms:W3CDTF">2022-02-07T16:09:00Z</dcterms:created>
  <dcterms:modified xsi:type="dcterms:W3CDTF">2022-04-25T19:34:00Z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